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787CF" w14:textId="77777777" w:rsidR="00D77FBF" w:rsidRDefault="00F41427" w:rsidP="00F41427">
      <w:pPr>
        <w:jc w:val="center"/>
        <w:rPr>
          <w:b/>
          <w:sz w:val="24"/>
        </w:rPr>
      </w:pPr>
      <w:r w:rsidRPr="00F41427">
        <w:rPr>
          <w:b/>
          <w:sz w:val="24"/>
        </w:rPr>
        <w:t>ΠΡΟΘΕΣΗ ΠΡΟΚΗΡΥΞΗΣ ΔΙΑΓΩΝΙΣΜΟΥ</w:t>
      </w:r>
    </w:p>
    <w:p w14:paraId="67E1DDF9" w14:textId="5252353F" w:rsidR="00B14A97" w:rsidRDefault="00F41427" w:rsidP="00B14A97">
      <w:pPr>
        <w:jc w:val="both"/>
        <w:rPr>
          <w:sz w:val="24"/>
        </w:rPr>
      </w:pPr>
      <w:r>
        <w:rPr>
          <w:sz w:val="24"/>
        </w:rPr>
        <w:tab/>
        <w:t>Το Τμήμα Γεωλογικής Επισκόπησης</w:t>
      </w:r>
      <w:r w:rsidR="00B14A97">
        <w:rPr>
          <w:sz w:val="24"/>
        </w:rPr>
        <w:t xml:space="preserve"> προγραμματίζει την προκήρυξη διαγωνισμού για την αγορά υπηρεσιών </w:t>
      </w:r>
      <w:r w:rsidR="00B14A97" w:rsidRPr="00F41427">
        <w:rPr>
          <w:sz w:val="24"/>
        </w:rPr>
        <w:t>για τη διεκπεραίωση δειγματοληψιών υπόγειου νερού από ένα ευρύ δίκτυο σταθμών</w:t>
      </w:r>
      <w:r w:rsidR="00B14A97">
        <w:rPr>
          <w:sz w:val="24"/>
        </w:rPr>
        <w:t xml:space="preserve"> παρακολούθησης</w:t>
      </w:r>
      <w:r w:rsidR="00B14A97" w:rsidRPr="00F41427">
        <w:rPr>
          <w:sz w:val="24"/>
        </w:rPr>
        <w:t>, σε Παγκύπρια βάση</w:t>
      </w:r>
      <w:r w:rsidR="00B914FA">
        <w:rPr>
          <w:sz w:val="24"/>
        </w:rPr>
        <w:t xml:space="preserve">, στα πλαίσια των Ευρωπαϊκών Οδηγιών 1991/676/ΕΟΚ (για την προστασία </w:t>
      </w:r>
      <w:r w:rsidR="00670AC3">
        <w:rPr>
          <w:sz w:val="24"/>
        </w:rPr>
        <w:t xml:space="preserve">των υδάτων από </w:t>
      </w:r>
      <w:proofErr w:type="spellStart"/>
      <w:r w:rsidR="00670AC3">
        <w:rPr>
          <w:sz w:val="24"/>
        </w:rPr>
        <w:t>νιτρορύπανση</w:t>
      </w:r>
      <w:proofErr w:type="spellEnd"/>
      <w:r w:rsidR="00670AC3">
        <w:rPr>
          <w:sz w:val="24"/>
        </w:rPr>
        <w:t xml:space="preserve"> γεωργικής προέλευσης</w:t>
      </w:r>
      <w:r w:rsidR="00B914FA">
        <w:rPr>
          <w:sz w:val="24"/>
        </w:rPr>
        <w:t xml:space="preserve">) και 2006/118/ΕΚ </w:t>
      </w:r>
      <w:r w:rsidR="00670AC3">
        <w:rPr>
          <w:sz w:val="24"/>
        </w:rPr>
        <w:t>(για την προστασία των υπόγειων νερών από την ρύπανση και την υποβάθμιση).</w:t>
      </w:r>
      <w:r w:rsidR="00386F6C" w:rsidRPr="00386F6C">
        <w:rPr>
          <w:sz w:val="24"/>
        </w:rPr>
        <w:t xml:space="preserve"> </w:t>
      </w:r>
      <w:r w:rsidR="00386F6C" w:rsidRPr="00F41427">
        <w:rPr>
          <w:sz w:val="24"/>
        </w:rPr>
        <w:t xml:space="preserve">Η σύμβαση θα έχει τριετή </w:t>
      </w:r>
      <w:r w:rsidR="003352A8">
        <w:rPr>
          <w:sz w:val="24"/>
        </w:rPr>
        <w:t xml:space="preserve">τουλάχιστο </w:t>
      </w:r>
      <w:r w:rsidR="00386F6C" w:rsidRPr="00F41427">
        <w:rPr>
          <w:sz w:val="24"/>
        </w:rPr>
        <w:t xml:space="preserve">διάρκεια </w:t>
      </w:r>
      <w:r w:rsidR="00386F6C">
        <w:rPr>
          <w:sz w:val="24"/>
        </w:rPr>
        <w:t xml:space="preserve">και προγραμματίζεται να προκηρυχθεί το πρώτο εξάμηνο του 2026. </w:t>
      </w:r>
    </w:p>
    <w:p w14:paraId="22EBFB21" w14:textId="2D11301A" w:rsidR="00086106" w:rsidRPr="00086106" w:rsidRDefault="00B14A97" w:rsidP="00086106">
      <w:pPr>
        <w:ind w:firstLine="720"/>
        <w:jc w:val="both"/>
        <w:rPr>
          <w:sz w:val="24"/>
        </w:rPr>
      </w:pPr>
      <w:r>
        <w:rPr>
          <w:sz w:val="24"/>
        </w:rPr>
        <w:t>Το δίκτυο παρακολούθησης αποτελείται από 238 σταθμούς</w:t>
      </w:r>
      <w:r w:rsidR="00D66AED">
        <w:rPr>
          <w:sz w:val="24"/>
        </w:rPr>
        <w:t xml:space="preserve"> (</w:t>
      </w:r>
      <w:r w:rsidR="00D66AED">
        <w:rPr>
          <w:rFonts w:cstheme="minorHAnsi"/>
          <w:sz w:val="24"/>
        </w:rPr>
        <w:t>±</w:t>
      </w:r>
      <w:r w:rsidR="00D66AED">
        <w:rPr>
          <w:sz w:val="24"/>
        </w:rPr>
        <w:t>15% αναλόγως των αναγκών)</w:t>
      </w:r>
      <w:r>
        <w:rPr>
          <w:sz w:val="24"/>
        </w:rPr>
        <w:t xml:space="preserve"> </w:t>
      </w:r>
      <w:r w:rsidR="00D66AED">
        <w:rPr>
          <w:sz w:val="24"/>
        </w:rPr>
        <w:t>και</w:t>
      </w:r>
      <w:r>
        <w:rPr>
          <w:sz w:val="24"/>
        </w:rPr>
        <w:t xml:space="preserve"> στην συντριπτική τους πλειοψηφία είναι γεωτρήσεις (ιδιωτικές και </w:t>
      </w:r>
      <w:r w:rsidR="003352A8">
        <w:rPr>
          <w:sz w:val="24"/>
        </w:rPr>
        <w:t>κυβερνητικές</w:t>
      </w:r>
      <w:r>
        <w:rPr>
          <w:sz w:val="24"/>
        </w:rPr>
        <w:t xml:space="preserve">) ενώ </w:t>
      </w:r>
      <w:r w:rsidR="003352A8">
        <w:rPr>
          <w:sz w:val="24"/>
        </w:rPr>
        <w:t>υπάρχουν</w:t>
      </w:r>
      <w:r>
        <w:rPr>
          <w:sz w:val="24"/>
        </w:rPr>
        <w:t xml:space="preserve"> και </w:t>
      </w:r>
      <w:r w:rsidR="003352A8">
        <w:rPr>
          <w:sz w:val="24"/>
        </w:rPr>
        <w:t>τρεις (3)</w:t>
      </w:r>
      <w:r>
        <w:rPr>
          <w:sz w:val="24"/>
        </w:rPr>
        <w:t xml:space="preserve"> φυσικ</w:t>
      </w:r>
      <w:r w:rsidR="003352A8">
        <w:rPr>
          <w:sz w:val="24"/>
        </w:rPr>
        <w:t>ές</w:t>
      </w:r>
      <w:r>
        <w:rPr>
          <w:sz w:val="24"/>
        </w:rPr>
        <w:t xml:space="preserve"> πηγ</w:t>
      </w:r>
      <w:r w:rsidR="003352A8">
        <w:rPr>
          <w:sz w:val="24"/>
        </w:rPr>
        <w:t>ές</w:t>
      </w:r>
      <w:r>
        <w:rPr>
          <w:sz w:val="24"/>
        </w:rPr>
        <w:t>.</w:t>
      </w:r>
      <w:r w:rsidR="00D66AED">
        <w:rPr>
          <w:sz w:val="24"/>
        </w:rPr>
        <w:t xml:space="preserve"> Επιπρόσθετα, το δίκτυο είναι διαβαθμισμένο σε δύο κατηγορίες, 1</w:t>
      </w:r>
      <w:r w:rsidR="00D66AED" w:rsidRPr="00D66AED">
        <w:rPr>
          <w:sz w:val="24"/>
          <w:vertAlign w:val="superscript"/>
        </w:rPr>
        <w:t>η</w:t>
      </w:r>
      <w:r w:rsidR="00D66AED">
        <w:rPr>
          <w:sz w:val="24"/>
        </w:rPr>
        <w:t xml:space="preserve"> κατηγορία στην οποία ανήκουν όλοι οι σταθμοί </w:t>
      </w:r>
      <w:r w:rsidR="005840C5">
        <w:rPr>
          <w:sz w:val="24"/>
        </w:rPr>
        <w:t>και αφορά τις πρόνοιες της οδηγίας 1991/676/ΕΟΚ και 2</w:t>
      </w:r>
      <w:r w:rsidR="005840C5" w:rsidRPr="005840C5">
        <w:rPr>
          <w:sz w:val="24"/>
          <w:vertAlign w:val="superscript"/>
        </w:rPr>
        <w:t>η</w:t>
      </w:r>
      <w:r w:rsidR="005840C5">
        <w:rPr>
          <w:sz w:val="24"/>
        </w:rPr>
        <w:t xml:space="preserve"> κατηγορία στην οποία ανήκουν 95 σταθμοί (εκ των 238) και αφορά τις πρόνοιες της οδηγίας 2006/118/ΕΚ. Η διαφοροποίηση στην κατηγορία ταυτίζεται με τον αριθμό δειγμάτων και παραμέτρων που αναλύονται ανά σταθμό ως ακολούθ</w:t>
      </w:r>
      <w:r w:rsidR="003352A8">
        <w:rPr>
          <w:sz w:val="24"/>
        </w:rPr>
        <w:t>ω</w:t>
      </w:r>
      <w:r w:rsidR="005840C5">
        <w:rPr>
          <w:sz w:val="24"/>
        </w:rPr>
        <w:t>ς: Στην 1</w:t>
      </w:r>
      <w:r w:rsidR="005840C5" w:rsidRPr="005840C5">
        <w:rPr>
          <w:sz w:val="24"/>
          <w:vertAlign w:val="superscript"/>
        </w:rPr>
        <w:t>η</w:t>
      </w:r>
      <w:r w:rsidR="005840C5">
        <w:rPr>
          <w:sz w:val="24"/>
        </w:rPr>
        <w:t xml:space="preserve"> κατηγορία λαμβάνεται ένα δείγμα </w:t>
      </w:r>
      <w:r w:rsidR="00AB029E">
        <w:rPr>
          <w:sz w:val="24"/>
        </w:rPr>
        <w:t>1000</w:t>
      </w:r>
      <w:r w:rsidR="00AB029E">
        <w:rPr>
          <w:sz w:val="24"/>
          <w:lang w:val="en-US"/>
        </w:rPr>
        <w:t>ml</w:t>
      </w:r>
      <w:r w:rsidR="00AB029E" w:rsidRPr="00AB029E">
        <w:rPr>
          <w:sz w:val="24"/>
        </w:rPr>
        <w:t xml:space="preserve"> </w:t>
      </w:r>
      <w:r w:rsidR="005840C5">
        <w:rPr>
          <w:sz w:val="24"/>
        </w:rPr>
        <w:t>σε</w:t>
      </w:r>
      <w:r w:rsidR="00AB029E" w:rsidRPr="00AB029E">
        <w:rPr>
          <w:sz w:val="24"/>
        </w:rPr>
        <w:t xml:space="preserve"> </w:t>
      </w:r>
      <w:r w:rsidR="00AB029E">
        <w:rPr>
          <w:sz w:val="24"/>
        </w:rPr>
        <w:t>πλαστική μπουκάλα (</w:t>
      </w:r>
      <w:r w:rsidR="00AB029E">
        <w:rPr>
          <w:sz w:val="24"/>
          <w:lang w:val="en-US"/>
        </w:rPr>
        <w:t>Polyethylene</w:t>
      </w:r>
      <w:r w:rsidR="00AB029E" w:rsidRPr="00AB029E">
        <w:rPr>
          <w:sz w:val="24"/>
        </w:rPr>
        <w:t xml:space="preserve">) </w:t>
      </w:r>
      <w:r w:rsidR="00AB029E">
        <w:rPr>
          <w:sz w:val="24"/>
        </w:rPr>
        <w:t xml:space="preserve">για την ανάλυση </w:t>
      </w:r>
      <w:r w:rsidR="00AB029E">
        <w:rPr>
          <w:sz w:val="24"/>
          <w:lang w:val="en-US"/>
        </w:rPr>
        <w:t>NO</w:t>
      </w:r>
      <w:r w:rsidR="00AB029E" w:rsidRPr="00AB029E">
        <w:rPr>
          <w:sz w:val="24"/>
          <w:vertAlign w:val="subscript"/>
        </w:rPr>
        <w:t>3</w:t>
      </w:r>
      <w:r w:rsidR="00AB029E" w:rsidRPr="00AB029E">
        <w:rPr>
          <w:sz w:val="24"/>
        </w:rPr>
        <w:t xml:space="preserve">, </w:t>
      </w:r>
      <w:r w:rsidR="00AB029E">
        <w:rPr>
          <w:sz w:val="24"/>
          <w:lang w:val="en-US"/>
        </w:rPr>
        <w:t>NO</w:t>
      </w:r>
      <w:r w:rsidR="00AB029E" w:rsidRPr="00AB029E">
        <w:rPr>
          <w:sz w:val="24"/>
          <w:vertAlign w:val="subscript"/>
        </w:rPr>
        <w:t>2</w:t>
      </w:r>
      <w:r w:rsidR="00AB029E" w:rsidRPr="00AB029E">
        <w:rPr>
          <w:sz w:val="24"/>
        </w:rPr>
        <w:t xml:space="preserve">, </w:t>
      </w:r>
      <w:r w:rsidR="00AB029E">
        <w:rPr>
          <w:sz w:val="24"/>
          <w:lang w:val="en-US"/>
        </w:rPr>
        <w:t>PO</w:t>
      </w:r>
      <w:r w:rsidR="00AB029E" w:rsidRPr="00AB029E">
        <w:rPr>
          <w:sz w:val="24"/>
          <w:vertAlign w:val="subscript"/>
        </w:rPr>
        <w:t>4</w:t>
      </w:r>
      <w:r w:rsidR="00AB029E">
        <w:rPr>
          <w:sz w:val="24"/>
        </w:rPr>
        <w:t xml:space="preserve"> και </w:t>
      </w:r>
      <w:r w:rsidR="00AB029E">
        <w:rPr>
          <w:sz w:val="24"/>
          <w:lang w:val="en-US"/>
        </w:rPr>
        <w:t>NH</w:t>
      </w:r>
      <w:r w:rsidR="00AB029E" w:rsidRPr="00AB029E">
        <w:rPr>
          <w:sz w:val="24"/>
          <w:vertAlign w:val="subscript"/>
        </w:rPr>
        <w:t>4</w:t>
      </w:r>
      <w:r w:rsidR="00AB029E">
        <w:rPr>
          <w:sz w:val="24"/>
        </w:rPr>
        <w:t xml:space="preserve"> και στην 2</w:t>
      </w:r>
      <w:r w:rsidR="00AB029E" w:rsidRPr="00AB029E">
        <w:rPr>
          <w:sz w:val="24"/>
          <w:vertAlign w:val="superscript"/>
        </w:rPr>
        <w:t>η</w:t>
      </w:r>
      <w:r w:rsidR="00AB029E">
        <w:rPr>
          <w:sz w:val="24"/>
        </w:rPr>
        <w:t xml:space="preserve"> κατηγορία λαμβάνονται (α) ένα δείγμα 2500</w:t>
      </w:r>
      <w:r w:rsidR="00AB029E">
        <w:rPr>
          <w:sz w:val="24"/>
          <w:lang w:val="en-US"/>
        </w:rPr>
        <w:t>ml</w:t>
      </w:r>
      <w:r w:rsidR="00AB029E">
        <w:rPr>
          <w:sz w:val="24"/>
        </w:rPr>
        <w:t xml:space="preserve"> σε γυάλινη</w:t>
      </w:r>
      <w:r w:rsidR="00AB029E" w:rsidRPr="00AB029E">
        <w:rPr>
          <w:sz w:val="24"/>
        </w:rPr>
        <w:t xml:space="preserve"> </w:t>
      </w:r>
      <w:r w:rsidR="00AB029E">
        <w:rPr>
          <w:sz w:val="24"/>
        </w:rPr>
        <w:t>μπουκάλα για ανάλυση φυτοφαρμάκων (β) δύο δείγματα των 500</w:t>
      </w:r>
      <w:r w:rsidR="00AB029E">
        <w:rPr>
          <w:sz w:val="24"/>
          <w:lang w:val="en-US"/>
        </w:rPr>
        <w:t>ml</w:t>
      </w:r>
      <w:r w:rsidR="00AB029E" w:rsidRPr="00AB029E">
        <w:rPr>
          <w:sz w:val="24"/>
        </w:rPr>
        <w:t xml:space="preserve"> </w:t>
      </w:r>
      <w:r w:rsidR="00AB029E">
        <w:rPr>
          <w:sz w:val="24"/>
        </w:rPr>
        <w:t>σε</w:t>
      </w:r>
      <w:r w:rsidR="00AB029E" w:rsidRPr="00AB029E">
        <w:rPr>
          <w:sz w:val="24"/>
        </w:rPr>
        <w:t xml:space="preserve"> </w:t>
      </w:r>
      <w:r w:rsidR="00AB029E">
        <w:rPr>
          <w:sz w:val="24"/>
        </w:rPr>
        <w:t>πλαστική μπουκάλα (</w:t>
      </w:r>
      <w:r w:rsidR="00AB029E">
        <w:rPr>
          <w:sz w:val="24"/>
          <w:lang w:val="en-US"/>
        </w:rPr>
        <w:t>Polyethylene</w:t>
      </w:r>
      <w:r w:rsidR="00AB029E" w:rsidRPr="00AB029E">
        <w:rPr>
          <w:sz w:val="24"/>
        </w:rPr>
        <w:t xml:space="preserve">) </w:t>
      </w:r>
      <w:r w:rsidR="00AB029E">
        <w:rPr>
          <w:sz w:val="24"/>
        </w:rPr>
        <w:t>για την ανάλυση</w:t>
      </w:r>
      <w:r w:rsidR="00AB029E" w:rsidRPr="00AB029E">
        <w:rPr>
          <w:sz w:val="24"/>
        </w:rPr>
        <w:t xml:space="preserve"> </w:t>
      </w:r>
      <w:r w:rsidR="00AB029E">
        <w:rPr>
          <w:sz w:val="24"/>
        </w:rPr>
        <w:t>ιχνοστοιχείων (γ) δύο δείγματα των 120</w:t>
      </w:r>
      <w:r w:rsidR="00AB029E">
        <w:rPr>
          <w:sz w:val="24"/>
          <w:lang w:val="en-US"/>
        </w:rPr>
        <w:t>ml</w:t>
      </w:r>
      <w:r w:rsidR="00AB029E" w:rsidRPr="00AB029E">
        <w:rPr>
          <w:sz w:val="24"/>
        </w:rPr>
        <w:t xml:space="preserve"> </w:t>
      </w:r>
      <w:r w:rsidR="00AB029E">
        <w:rPr>
          <w:sz w:val="24"/>
        </w:rPr>
        <w:t>σε γυάλινη</w:t>
      </w:r>
      <w:r w:rsidR="00AB029E" w:rsidRPr="00AB029E">
        <w:rPr>
          <w:sz w:val="24"/>
        </w:rPr>
        <w:t xml:space="preserve"> </w:t>
      </w:r>
      <w:r w:rsidR="00AB029E">
        <w:rPr>
          <w:sz w:val="24"/>
        </w:rPr>
        <w:t>μπουκάλα</w:t>
      </w:r>
      <w:r w:rsidR="00AB029E" w:rsidRPr="00AB029E">
        <w:rPr>
          <w:sz w:val="24"/>
        </w:rPr>
        <w:t xml:space="preserve"> </w:t>
      </w:r>
      <w:r w:rsidR="00AB029E">
        <w:rPr>
          <w:sz w:val="24"/>
        </w:rPr>
        <w:t>για ανάλυση πτητικών και (δ) ένα</w:t>
      </w:r>
      <w:r w:rsidR="00AB029E" w:rsidRPr="00AB029E">
        <w:rPr>
          <w:sz w:val="24"/>
        </w:rPr>
        <w:t xml:space="preserve"> </w:t>
      </w:r>
      <w:r w:rsidR="00AB029E">
        <w:rPr>
          <w:sz w:val="24"/>
        </w:rPr>
        <w:t>δείγμα 1000</w:t>
      </w:r>
      <w:r w:rsidR="00AB029E">
        <w:rPr>
          <w:sz w:val="24"/>
          <w:lang w:val="en-US"/>
        </w:rPr>
        <w:t>ml</w:t>
      </w:r>
      <w:r w:rsidR="00AB029E" w:rsidRPr="00AB029E">
        <w:rPr>
          <w:sz w:val="24"/>
        </w:rPr>
        <w:t xml:space="preserve"> </w:t>
      </w:r>
      <w:r w:rsidR="00AB029E">
        <w:rPr>
          <w:sz w:val="24"/>
        </w:rPr>
        <w:t>σε</w:t>
      </w:r>
      <w:r w:rsidR="00AB029E" w:rsidRPr="00AB029E">
        <w:rPr>
          <w:sz w:val="24"/>
        </w:rPr>
        <w:t xml:space="preserve"> </w:t>
      </w:r>
      <w:r w:rsidR="00AB029E">
        <w:rPr>
          <w:sz w:val="24"/>
        </w:rPr>
        <w:t>πλαστική μπουκάλα (</w:t>
      </w:r>
      <w:r w:rsidR="00AB029E">
        <w:rPr>
          <w:sz w:val="24"/>
          <w:lang w:val="en-US"/>
        </w:rPr>
        <w:t>Polyethylene</w:t>
      </w:r>
      <w:r w:rsidR="00AB029E" w:rsidRPr="00AB029E">
        <w:rPr>
          <w:sz w:val="24"/>
        </w:rPr>
        <w:t xml:space="preserve">) </w:t>
      </w:r>
      <w:r w:rsidR="00AB029E">
        <w:rPr>
          <w:sz w:val="24"/>
        </w:rPr>
        <w:t>για την ανάλυση ιόντων</w:t>
      </w:r>
      <w:r w:rsidR="00C07139">
        <w:rPr>
          <w:sz w:val="24"/>
        </w:rPr>
        <w:t>,</w:t>
      </w:r>
      <w:r w:rsidR="00086106">
        <w:rPr>
          <w:sz w:val="24"/>
        </w:rPr>
        <w:t xml:space="preserve"> </w:t>
      </w:r>
      <w:r w:rsidR="00086106" w:rsidRPr="00086106">
        <w:rPr>
          <w:b/>
          <w:sz w:val="24"/>
        </w:rPr>
        <w:t>βλέπε πί</w:t>
      </w:r>
      <w:r w:rsidR="00C07139" w:rsidRPr="00086106">
        <w:rPr>
          <w:b/>
          <w:sz w:val="24"/>
        </w:rPr>
        <w:t>νακας 1</w:t>
      </w:r>
      <w:r w:rsidR="00AB029E">
        <w:rPr>
          <w:sz w:val="24"/>
        </w:rPr>
        <w:t xml:space="preserve">.  Επισυνάπτεται συνοπτικός χάρτης με την χωρική κατανομή των σταθμών </w:t>
      </w:r>
      <w:r w:rsidR="00AB029E" w:rsidRPr="00C07139">
        <w:rPr>
          <w:b/>
          <w:sz w:val="24"/>
        </w:rPr>
        <w:t>(ΠΑΡΑΡΤΗΜΑ Ι)</w:t>
      </w:r>
      <w:r w:rsidR="00AB029E" w:rsidRPr="00C07139">
        <w:rPr>
          <w:sz w:val="24"/>
        </w:rPr>
        <w:t>.</w:t>
      </w:r>
    </w:p>
    <w:tbl>
      <w:tblPr>
        <w:tblStyle w:val="TableGrid"/>
        <w:tblW w:w="9214" w:type="dxa"/>
        <w:tblLayout w:type="fixed"/>
        <w:tblLook w:val="04A0" w:firstRow="1" w:lastRow="0" w:firstColumn="1" w:lastColumn="0" w:noHBand="0" w:noVBand="1"/>
      </w:tblPr>
      <w:tblGrid>
        <w:gridCol w:w="567"/>
        <w:gridCol w:w="1134"/>
        <w:gridCol w:w="1276"/>
        <w:gridCol w:w="1418"/>
        <w:gridCol w:w="1559"/>
        <w:gridCol w:w="1559"/>
        <w:gridCol w:w="1701"/>
      </w:tblGrid>
      <w:tr w:rsidR="00086106" w14:paraId="163C9447" w14:textId="77777777" w:rsidTr="00086106">
        <w:trPr>
          <w:trHeight w:val="395"/>
        </w:trPr>
        <w:tc>
          <w:tcPr>
            <w:tcW w:w="9214" w:type="dxa"/>
            <w:gridSpan w:val="7"/>
            <w:tcBorders>
              <w:top w:val="nil"/>
              <w:left w:val="nil"/>
              <w:bottom w:val="single" w:sz="4" w:space="0" w:color="auto"/>
              <w:right w:val="nil"/>
            </w:tcBorders>
          </w:tcPr>
          <w:p w14:paraId="19957880" w14:textId="18F8D674" w:rsidR="00086106" w:rsidRDefault="00086106" w:rsidP="00086106">
            <w:pPr>
              <w:spacing w:before="60" w:after="60"/>
              <w:jc w:val="both"/>
              <w:rPr>
                <w:b/>
              </w:rPr>
            </w:pPr>
            <w:r>
              <w:rPr>
                <w:b/>
              </w:rPr>
              <w:t xml:space="preserve">Πίνακας 1: Αριθμός δειγμάτων, ανά σταθμό παρακολούθησης, σε σχέση με τις Ευρωπαϊκές Οδηγίες. </w:t>
            </w:r>
          </w:p>
        </w:tc>
      </w:tr>
      <w:tr w:rsidR="00086106" w14:paraId="4F9EEF0E" w14:textId="28AC5BE9" w:rsidTr="00086106">
        <w:tc>
          <w:tcPr>
            <w:tcW w:w="567" w:type="dxa"/>
            <w:vMerge w:val="restart"/>
            <w:tcBorders>
              <w:top w:val="single" w:sz="4" w:space="0" w:color="auto"/>
              <w:left w:val="nil"/>
              <w:bottom w:val="double" w:sz="4" w:space="0" w:color="auto"/>
              <w:right w:val="nil"/>
            </w:tcBorders>
            <w:textDirection w:val="btLr"/>
          </w:tcPr>
          <w:p w14:paraId="3A2995EE" w14:textId="5768853F" w:rsidR="00086106" w:rsidRPr="00D0262F" w:rsidRDefault="00086106" w:rsidP="00086106">
            <w:pPr>
              <w:spacing w:before="60" w:after="60"/>
              <w:ind w:left="113" w:right="113"/>
              <w:jc w:val="center"/>
              <w:rPr>
                <w:b/>
              </w:rPr>
            </w:pPr>
            <w:r>
              <w:rPr>
                <w:b/>
              </w:rPr>
              <w:t>Οδηγία</w:t>
            </w:r>
          </w:p>
        </w:tc>
        <w:tc>
          <w:tcPr>
            <w:tcW w:w="1134" w:type="dxa"/>
            <w:vMerge w:val="restart"/>
            <w:tcBorders>
              <w:top w:val="single" w:sz="4" w:space="0" w:color="auto"/>
              <w:left w:val="nil"/>
              <w:right w:val="nil"/>
            </w:tcBorders>
          </w:tcPr>
          <w:p w14:paraId="68698C6C" w14:textId="3378ADF8" w:rsidR="00086106" w:rsidRPr="00D0262F" w:rsidRDefault="00086106" w:rsidP="00843CA3">
            <w:pPr>
              <w:spacing w:before="60" w:after="60"/>
              <w:jc w:val="center"/>
              <w:rPr>
                <w:b/>
              </w:rPr>
            </w:pPr>
            <w:r w:rsidRPr="00D0262F">
              <w:rPr>
                <w:b/>
              </w:rPr>
              <w:t>Αριθμός Σταθμών</w:t>
            </w:r>
          </w:p>
        </w:tc>
        <w:tc>
          <w:tcPr>
            <w:tcW w:w="4253" w:type="dxa"/>
            <w:gridSpan w:val="3"/>
            <w:tcBorders>
              <w:top w:val="single" w:sz="4" w:space="0" w:color="auto"/>
              <w:left w:val="nil"/>
              <w:bottom w:val="nil"/>
              <w:right w:val="nil"/>
            </w:tcBorders>
          </w:tcPr>
          <w:p w14:paraId="5D20E481" w14:textId="4A806F0B" w:rsidR="00086106" w:rsidRPr="00D0262F" w:rsidRDefault="00086106" w:rsidP="00843CA3">
            <w:pPr>
              <w:spacing w:before="60" w:after="60"/>
              <w:jc w:val="center"/>
              <w:rPr>
                <w:b/>
              </w:rPr>
            </w:pPr>
            <w:r w:rsidRPr="00D0262F">
              <w:rPr>
                <w:b/>
              </w:rPr>
              <w:t>Δείγμα</w:t>
            </w:r>
          </w:p>
        </w:tc>
        <w:tc>
          <w:tcPr>
            <w:tcW w:w="1559" w:type="dxa"/>
            <w:vMerge w:val="restart"/>
            <w:tcBorders>
              <w:top w:val="single" w:sz="4" w:space="0" w:color="auto"/>
              <w:left w:val="nil"/>
              <w:right w:val="nil"/>
            </w:tcBorders>
          </w:tcPr>
          <w:p w14:paraId="7CE09AC8" w14:textId="639A6574" w:rsidR="00086106" w:rsidRPr="00843CA3" w:rsidRDefault="00086106" w:rsidP="00843CA3">
            <w:pPr>
              <w:spacing w:before="60" w:after="60"/>
              <w:jc w:val="center"/>
              <w:rPr>
                <w:b/>
              </w:rPr>
            </w:pPr>
            <w:r>
              <w:rPr>
                <w:b/>
              </w:rPr>
              <w:t xml:space="preserve">Χημική </w:t>
            </w:r>
            <w:r w:rsidRPr="00D0262F">
              <w:rPr>
                <w:b/>
              </w:rPr>
              <w:t>Παράμετρος</w:t>
            </w:r>
            <w:r>
              <w:rPr>
                <w:b/>
                <w:lang w:val="en-US"/>
              </w:rPr>
              <w:t xml:space="preserve"> </w:t>
            </w:r>
          </w:p>
        </w:tc>
        <w:tc>
          <w:tcPr>
            <w:tcW w:w="1701" w:type="dxa"/>
            <w:vMerge w:val="restart"/>
            <w:tcBorders>
              <w:top w:val="single" w:sz="4" w:space="0" w:color="auto"/>
              <w:left w:val="nil"/>
              <w:right w:val="nil"/>
            </w:tcBorders>
          </w:tcPr>
          <w:p w14:paraId="774EB5E2" w14:textId="000E5091" w:rsidR="00086106" w:rsidRDefault="00086106" w:rsidP="00843CA3">
            <w:pPr>
              <w:spacing w:before="60" w:after="60"/>
              <w:jc w:val="center"/>
              <w:rPr>
                <w:b/>
              </w:rPr>
            </w:pPr>
            <w:r>
              <w:rPr>
                <w:b/>
              </w:rPr>
              <w:t>Χημείο</w:t>
            </w:r>
          </w:p>
        </w:tc>
      </w:tr>
      <w:tr w:rsidR="00086106" w14:paraId="3293BE40" w14:textId="21A4A0CE" w:rsidTr="00086106">
        <w:trPr>
          <w:trHeight w:val="604"/>
        </w:trPr>
        <w:tc>
          <w:tcPr>
            <w:tcW w:w="567" w:type="dxa"/>
            <w:vMerge/>
            <w:tcBorders>
              <w:left w:val="nil"/>
              <w:bottom w:val="single" w:sz="4" w:space="0" w:color="auto"/>
              <w:right w:val="nil"/>
            </w:tcBorders>
          </w:tcPr>
          <w:p w14:paraId="773F4E09" w14:textId="77777777" w:rsidR="00086106" w:rsidRPr="00D0262F" w:rsidRDefault="00086106" w:rsidP="00843CA3">
            <w:pPr>
              <w:spacing w:before="60" w:after="60"/>
              <w:jc w:val="both"/>
            </w:pPr>
          </w:p>
        </w:tc>
        <w:tc>
          <w:tcPr>
            <w:tcW w:w="1134" w:type="dxa"/>
            <w:vMerge/>
            <w:tcBorders>
              <w:left w:val="nil"/>
              <w:bottom w:val="single" w:sz="4" w:space="0" w:color="auto"/>
              <w:right w:val="nil"/>
            </w:tcBorders>
          </w:tcPr>
          <w:p w14:paraId="52A199D1" w14:textId="77777777" w:rsidR="00086106" w:rsidRPr="00D0262F" w:rsidRDefault="00086106" w:rsidP="00843CA3">
            <w:pPr>
              <w:spacing w:before="60" w:after="60"/>
              <w:jc w:val="both"/>
            </w:pPr>
          </w:p>
        </w:tc>
        <w:tc>
          <w:tcPr>
            <w:tcW w:w="1276" w:type="dxa"/>
            <w:tcBorders>
              <w:top w:val="nil"/>
              <w:left w:val="nil"/>
              <w:bottom w:val="single" w:sz="4" w:space="0" w:color="auto"/>
              <w:right w:val="nil"/>
            </w:tcBorders>
          </w:tcPr>
          <w:p w14:paraId="1C96CC28" w14:textId="3A5B9530" w:rsidR="00086106" w:rsidRPr="00D0262F" w:rsidRDefault="00086106" w:rsidP="00843CA3">
            <w:pPr>
              <w:spacing w:before="60" w:after="60"/>
              <w:jc w:val="center"/>
              <w:rPr>
                <w:b/>
              </w:rPr>
            </w:pPr>
            <w:r w:rsidRPr="00D0262F">
              <w:rPr>
                <w:b/>
              </w:rPr>
              <w:t>Ποσότητα</w:t>
            </w:r>
          </w:p>
        </w:tc>
        <w:tc>
          <w:tcPr>
            <w:tcW w:w="1418" w:type="dxa"/>
            <w:tcBorders>
              <w:top w:val="nil"/>
              <w:left w:val="nil"/>
              <w:bottom w:val="single" w:sz="4" w:space="0" w:color="auto"/>
              <w:right w:val="nil"/>
            </w:tcBorders>
          </w:tcPr>
          <w:p w14:paraId="6022DD37" w14:textId="0703DC6A" w:rsidR="00086106" w:rsidRPr="00D0262F" w:rsidRDefault="00086106" w:rsidP="00843CA3">
            <w:pPr>
              <w:spacing w:before="60" w:after="60"/>
              <w:jc w:val="center"/>
              <w:rPr>
                <w:b/>
              </w:rPr>
            </w:pPr>
            <w:r w:rsidRPr="00D0262F">
              <w:rPr>
                <w:b/>
              </w:rPr>
              <w:t>Μπουκάλα</w:t>
            </w:r>
          </w:p>
        </w:tc>
        <w:tc>
          <w:tcPr>
            <w:tcW w:w="1559" w:type="dxa"/>
            <w:tcBorders>
              <w:top w:val="nil"/>
              <w:left w:val="nil"/>
              <w:bottom w:val="single" w:sz="4" w:space="0" w:color="auto"/>
              <w:right w:val="nil"/>
            </w:tcBorders>
          </w:tcPr>
          <w:p w14:paraId="3FC525B6" w14:textId="08282612" w:rsidR="00086106" w:rsidRPr="00D0262F" w:rsidRDefault="00086106" w:rsidP="00843CA3">
            <w:pPr>
              <w:spacing w:before="60" w:after="60"/>
              <w:jc w:val="center"/>
              <w:rPr>
                <w:b/>
              </w:rPr>
            </w:pPr>
            <w:r>
              <w:rPr>
                <w:b/>
              </w:rPr>
              <w:t>Κατάσταση</w:t>
            </w:r>
          </w:p>
        </w:tc>
        <w:tc>
          <w:tcPr>
            <w:tcW w:w="1559" w:type="dxa"/>
            <w:vMerge/>
            <w:tcBorders>
              <w:left w:val="nil"/>
              <w:bottom w:val="single" w:sz="4" w:space="0" w:color="auto"/>
              <w:right w:val="nil"/>
            </w:tcBorders>
          </w:tcPr>
          <w:p w14:paraId="348D7A25" w14:textId="51EB0254" w:rsidR="00086106" w:rsidRPr="00D0262F" w:rsidRDefault="00086106" w:rsidP="00843CA3">
            <w:pPr>
              <w:spacing w:before="60" w:after="60"/>
              <w:jc w:val="both"/>
            </w:pPr>
          </w:p>
        </w:tc>
        <w:tc>
          <w:tcPr>
            <w:tcW w:w="1701" w:type="dxa"/>
            <w:vMerge/>
            <w:tcBorders>
              <w:left w:val="nil"/>
              <w:bottom w:val="single" w:sz="4" w:space="0" w:color="auto"/>
              <w:right w:val="nil"/>
            </w:tcBorders>
          </w:tcPr>
          <w:p w14:paraId="43B9C27F" w14:textId="77777777" w:rsidR="00086106" w:rsidRPr="00D0262F" w:rsidRDefault="00086106" w:rsidP="00843CA3">
            <w:pPr>
              <w:spacing w:before="60" w:after="60"/>
              <w:jc w:val="both"/>
            </w:pPr>
          </w:p>
        </w:tc>
      </w:tr>
      <w:tr w:rsidR="00086106" w14:paraId="64CE62D3" w14:textId="48675CCD" w:rsidTr="00086106">
        <w:trPr>
          <w:cantSplit/>
          <w:trHeight w:val="1688"/>
        </w:trPr>
        <w:tc>
          <w:tcPr>
            <w:tcW w:w="567" w:type="dxa"/>
            <w:tcBorders>
              <w:top w:val="single" w:sz="4" w:space="0" w:color="auto"/>
              <w:left w:val="nil"/>
              <w:bottom w:val="nil"/>
              <w:right w:val="nil"/>
            </w:tcBorders>
            <w:textDirection w:val="btLr"/>
          </w:tcPr>
          <w:p w14:paraId="1F4299C6" w14:textId="749638CA" w:rsidR="00086106" w:rsidRPr="00D0262F" w:rsidRDefault="00086106" w:rsidP="006F1312">
            <w:pPr>
              <w:spacing w:before="60" w:after="60"/>
              <w:ind w:left="113" w:right="113"/>
              <w:jc w:val="both"/>
            </w:pPr>
            <w:r w:rsidRPr="00D0262F">
              <w:t>1991/676/ΕΟΚ</w:t>
            </w:r>
          </w:p>
        </w:tc>
        <w:tc>
          <w:tcPr>
            <w:tcW w:w="1134" w:type="dxa"/>
            <w:tcBorders>
              <w:top w:val="single" w:sz="4" w:space="0" w:color="auto"/>
              <w:left w:val="nil"/>
              <w:bottom w:val="nil"/>
              <w:right w:val="nil"/>
            </w:tcBorders>
          </w:tcPr>
          <w:p w14:paraId="5911FC92" w14:textId="52136056" w:rsidR="00086106" w:rsidRPr="00D0262F" w:rsidRDefault="00086106" w:rsidP="00843CA3">
            <w:pPr>
              <w:spacing w:before="60" w:after="60"/>
              <w:jc w:val="both"/>
            </w:pPr>
            <w:r w:rsidRPr="00D0262F">
              <w:t>238</w:t>
            </w:r>
          </w:p>
        </w:tc>
        <w:tc>
          <w:tcPr>
            <w:tcW w:w="1276" w:type="dxa"/>
            <w:tcBorders>
              <w:top w:val="single" w:sz="4" w:space="0" w:color="auto"/>
              <w:left w:val="nil"/>
              <w:bottom w:val="nil"/>
              <w:right w:val="nil"/>
            </w:tcBorders>
          </w:tcPr>
          <w:p w14:paraId="22135D5C" w14:textId="0253D2ED" w:rsidR="00086106" w:rsidRPr="00D0262F" w:rsidRDefault="00086106" w:rsidP="00843CA3">
            <w:pPr>
              <w:spacing w:before="60" w:after="60"/>
              <w:jc w:val="both"/>
              <w:rPr>
                <w:lang w:val="en-US"/>
              </w:rPr>
            </w:pPr>
            <w:r>
              <w:rPr>
                <w:lang w:val="en-US"/>
              </w:rPr>
              <w:t xml:space="preserve">1 x </w:t>
            </w:r>
            <w:r w:rsidRPr="00D0262F">
              <w:t>1000</w:t>
            </w:r>
            <w:r w:rsidRPr="00D0262F">
              <w:rPr>
                <w:lang w:val="en-US"/>
              </w:rPr>
              <w:t>ml</w:t>
            </w:r>
          </w:p>
        </w:tc>
        <w:tc>
          <w:tcPr>
            <w:tcW w:w="1418" w:type="dxa"/>
            <w:tcBorders>
              <w:top w:val="single" w:sz="4" w:space="0" w:color="auto"/>
              <w:left w:val="nil"/>
              <w:bottom w:val="nil"/>
              <w:right w:val="nil"/>
            </w:tcBorders>
          </w:tcPr>
          <w:p w14:paraId="5BF1509C" w14:textId="7CB64654" w:rsidR="00086106" w:rsidRPr="00D0262F" w:rsidRDefault="00086106" w:rsidP="00843CA3">
            <w:pPr>
              <w:spacing w:before="60" w:after="60"/>
              <w:jc w:val="both"/>
              <w:rPr>
                <w:lang w:val="en-US"/>
              </w:rPr>
            </w:pPr>
            <w:r w:rsidRPr="00D0262F">
              <w:rPr>
                <w:lang w:val="en-US"/>
              </w:rPr>
              <w:t>Polyethylene</w:t>
            </w:r>
          </w:p>
        </w:tc>
        <w:tc>
          <w:tcPr>
            <w:tcW w:w="1559" w:type="dxa"/>
            <w:tcBorders>
              <w:top w:val="single" w:sz="4" w:space="0" w:color="auto"/>
              <w:left w:val="nil"/>
              <w:bottom w:val="nil"/>
              <w:right w:val="nil"/>
            </w:tcBorders>
          </w:tcPr>
          <w:p w14:paraId="23BF581B" w14:textId="435C3534" w:rsidR="00086106" w:rsidRPr="00D0262F" w:rsidRDefault="00086106" w:rsidP="00843CA3">
            <w:pPr>
              <w:spacing w:before="60" w:after="60"/>
              <w:jc w:val="both"/>
            </w:pPr>
            <w:r>
              <w:t>Αφιλτράριστο</w:t>
            </w:r>
          </w:p>
        </w:tc>
        <w:tc>
          <w:tcPr>
            <w:tcW w:w="1559" w:type="dxa"/>
            <w:tcBorders>
              <w:top w:val="single" w:sz="4" w:space="0" w:color="auto"/>
              <w:left w:val="nil"/>
              <w:bottom w:val="nil"/>
              <w:right w:val="nil"/>
            </w:tcBorders>
          </w:tcPr>
          <w:p w14:paraId="53AE67BB" w14:textId="01533708" w:rsidR="00086106" w:rsidRPr="00843CA3" w:rsidRDefault="00086106" w:rsidP="00783333">
            <w:pPr>
              <w:spacing w:before="60" w:after="60"/>
              <w:rPr>
                <w:lang w:val="en-US"/>
              </w:rPr>
            </w:pPr>
            <w:r>
              <w:rPr>
                <w:lang w:val="en-US"/>
              </w:rPr>
              <w:t>NO</w:t>
            </w:r>
            <w:r w:rsidRPr="00843CA3">
              <w:rPr>
                <w:vertAlign w:val="subscript"/>
                <w:lang w:val="en-US"/>
              </w:rPr>
              <w:t>3</w:t>
            </w:r>
            <w:r>
              <w:rPr>
                <w:lang w:val="en-US"/>
              </w:rPr>
              <w:t>, NO</w:t>
            </w:r>
            <w:r w:rsidRPr="00843CA3">
              <w:rPr>
                <w:vertAlign w:val="subscript"/>
                <w:lang w:val="en-US"/>
              </w:rPr>
              <w:t>2</w:t>
            </w:r>
            <w:r>
              <w:rPr>
                <w:lang w:val="en-US"/>
              </w:rPr>
              <w:t>, PO</w:t>
            </w:r>
            <w:r w:rsidRPr="00843CA3">
              <w:rPr>
                <w:vertAlign w:val="subscript"/>
                <w:lang w:val="en-US"/>
              </w:rPr>
              <w:t>4</w:t>
            </w:r>
            <w:r>
              <w:rPr>
                <w:lang w:val="en-US"/>
              </w:rPr>
              <w:t>, NH</w:t>
            </w:r>
            <w:r w:rsidRPr="00843CA3">
              <w:rPr>
                <w:vertAlign w:val="subscript"/>
                <w:lang w:val="en-US"/>
              </w:rPr>
              <w:t>4</w:t>
            </w:r>
          </w:p>
        </w:tc>
        <w:tc>
          <w:tcPr>
            <w:tcW w:w="1701" w:type="dxa"/>
            <w:tcBorders>
              <w:top w:val="single" w:sz="4" w:space="0" w:color="auto"/>
              <w:left w:val="nil"/>
              <w:bottom w:val="nil"/>
              <w:right w:val="nil"/>
            </w:tcBorders>
          </w:tcPr>
          <w:p w14:paraId="405FF612" w14:textId="2479B67C" w:rsidR="00086106" w:rsidRPr="00086106" w:rsidRDefault="00086106" w:rsidP="00783333">
            <w:pPr>
              <w:spacing w:before="60" w:after="60"/>
            </w:pPr>
            <w:r>
              <w:t>Χημείο Τμήματος Γεωλογικής Επισκόπησης</w:t>
            </w:r>
          </w:p>
        </w:tc>
      </w:tr>
      <w:tr w:rsidR="00086106" w14:paraId="32BD75D9" w14:textId="3C6FE2F6" w:rsidTr="00086106">
        <w:tc>
          <w:tcPr>
            <w:tcW w:w="567" w:type="dxa"/>
            <w:vMerge w:val="restart"/>
            <w:tcBorders>
              <w:top w:val="nil"/>
              <w:left w:val="nil"/>
              <w:right w:val="nil"/>
            </w:tcBorders>
            <w:textDirection w:val="btLr"/>
          </w:tcPr>
          <w:p w14:paraId="1AD92A8E" w14:textId="220BDF47" w:rsidR="00086106" w:rsidRPr="00D0262F" w:rsidRDefault="00086106" w:rsidP="006F1312">
            <w:pPr>
              <w:spacing w:before="60" w:after="60"/>
              <w:ind w:left="113" w:right="113"/>
              <w:jc w:val="both"/>
            </w:pPr>
            <w:r w:rsidRPr="00D0262F">
              <w:t>2006/118/ΕΚ</w:t>
            </w:r>
          </w:p>
        </w:tc>
        <w:tc>
          <w:tcPr>
            <w:tcW w:w="1134" w:type="dxa"/>
            <w:vMerge w:val="restart"/>
            <w:tcBorders>
              <w:top w:val="nil"/>
              <w:left w:val="nil"/>
              <w:right w:val="nil"/>
            </w:tcBorders>
          </w:tcPr>
          <w:p w14:paraId="18425CC2" w14:textId="64CF853E" w:rsidR="00086106" w:rsidRPr="00645B86" w:rsidRDefault="00086106" w:rsidP="00843CA3">
            <w:pPr>
              <w:spacing w:before="60" w:after="60"/>
              <w:jc w:val="both"/>
              <w:rPr>
                <w:lang w:val="en-US"/>
              </w:rPr>
            </w:pPr>
            <w:r w:rsidRPr="00D0262F">
              <w:t>95</w:t>
            </w:r>
            <w:r>
              <w:rPr>
                <w:lang w:val="en-US"/>
              </w:rPr>
              <w:t>*</w:t>
            </w:r>
          </w:p>
        </w:tc>
        <w:tc>
          <w:tcPr>
            <w:tcW w:w="1276" w:type="dxa"/>
            <w:tcBorders>
              <w:top w:val="nil"/>
              <w:left w:val="nil"/>
              <w:bottom w:val="nil"/>
              <w:right w:val="nil"/>
            </w:tcBorders>
          </w:tcPr>
          <w:p w14:paraId="44ED49C8" w14:textId="0DDFDC05" w:rsidR="00086106" w:rsidRPr="00843CA3" w:rsidRDefault="00086106" w:rsidP="00843CA3">
            <w:pPr>
              <w:spacing w:before="60" w:after="60"/>
              <w:jc w:val="both"/>
              <w:rPr>
                <w:lang w:val="en-US"/>
              </w:rPr>
            </w:pPr>
            <w:r>
              <w:rPr>
                <w:lang w:val="en-US"/>
              </w:rPr>
              <w:t xml:space="preserve">1 x </w:t>
            </w:r>
            <w:r>
              <w:t>2500</w:t>
            </w:r>
            <w:r>
              <w:rPr>
                <w:lang w:val="en-US"/>
              </w:rPr>
              <w:t>ml</w:t>
            </w:r>
          </w:p>
        </w:tc>
        <w:tc>
          <w:tcPr>
            <w:tcW w:w="1418" w:type="dxa"/>
            <w:tcBorders>
              <w:top w:val="nil"/>
              <w:left w:val="nil"/>
              <w:bottom w:val="nil"/>
              <w:right w:val="nil"/>
            </w:tcBorders>
          </w:tcPr>
          <w:p w14:paraId="5E34462F" w14:textId="27DFCF47" w:rsidR="00086106" w:rsidRPr="00D0262F" w:rsidRDefault="00086106" w:rsidP="00843CA3">
            <w:pPr>
              <w:spacing w:before="60" w:after="60"/>
              <w:jc w:val="both"/>
            </w:pPr>
            <w:r>
              <w:t>Γυάλινη</w:t>
            </w:r>
          </w:p>
        </w:tc>
        <w:tc>
          <w:tcPr>
            <w:tcW w:w="1559" w:type="dxa"/>
            <w:tcBorders>
              <w:top w:val="nil"/>
              <w:left w:val="nil"/>
              <w:bottom w:val="nil"/>
              <w:right w:val="nil"/>
            </w:tcBorders>
          </w:tcPr>
          <w:p w14:paraId="6A42571C" w14:textId="32711525" w:rsidR="00086106" w:rsidRPr="00D0262F" w:rsidRDefault="00086106" w:rsidP="00843CA3">
            <w:pPr>
              <w:spacing w:before="60" w:after="60"/>
              <w:jc w:val="both"/>
            </w:pPr>
            <w:r>
              <w:t>Αφιλτράριστο</w:t>
            </w:r>
          </w:p>
        </w:tc>
        <w:tc>
          <w:tcPr>
            <w:tcW w:w="1559" w:type="dxa"/>
            <w:tcBorders>
              <w:top w:val="nil"/>
              <w:left w:val="nil"/>
              <w:bottom w:val="nil"/>
              <w:right w:val="nil"/>
            </w:tcBorders>
          </w:tcPr>
          <w:p w14:paraId="167572B0" w14:textId="5FAF1F41" w:rsidR="00086106" w:rsidRPr="00D0262F" w:rsidRDefault="00086106" w:rsidP="00843CA3">
            <w:pPr>
              <w:spacing w:before="60" w:after="60"/>
              <w:jc w:val="both"/>
            </w:pPr>
            <w:r>
              <w:t>Φυτοφάρμακα</w:t>
            </w:r>
          </w:p>
        </w:tc>
        <w:tc>
          <w:tcPr>
            <w:tcW w:w="1701" w:type="dxa"/>
            <w:tcBorders>
              <w:top w:val="nil"/>
              <w:left w:val="nil"/>
              <w:bottom w:val="nil"/>
              <w:right w:val="nil"/>
            </w:tcBorders>
          </w:tcPr>
          <w:p w14:paraId="2B62C9B7" w14:textId="769ECD3A" w:rsidR="00086106" w:rsidRDefault="00086106" w:rsidP="00843CA3">
            <w:pPr>
              <w:spacing w:before="60" w:after="60"/>
              <w:jc w:val="both"/>
            </w:pPr>
            <w:r>
              <w:t>Κρατικό Χημείο</w:t>
            </w:r>
          </w:p>
        </w:tc>
      </w:tr>
      <w:tr w:rsidR="00086106" w14:paraId="16D85DA4" w14:textId="07E13CDD" w:rsidTr="00086106">
        <w:tc>
          <w:tcPr>
            <w:tcW w:w="567" w:type="dxa"/>
            <w:vMerge/>
            <w:tcBorders>
              <w:left w:val="nil"/>
              <w:right w:val="nil"/>
            </w:tcBorders>
          </w:tcPr>
          <w:p w14:paraId="21DEF49E" w14:textId="77777777" w:rsidR="00086106" w:rsidRPr="00D0262F" w:rsidRDefault="00086106" w:rsidP="00843CA3">
            <w:pPr>
              <w:spacing w:before="60" w:after="60"/>
              <w:jc w:val="both"/>
            </w:pPr>
          </w:p>
        </w:tc>
        <w:tc>
          <w:tcPr>
            <w:tcW w:w="1134" w:type="dxa"/>
            <w:vMerge/>
            <w:tcBorders>
              <w:left w:val="nil"/>
              <w:right w:val="nil"/>
            </w:tcBorders>
          </w:tcPr>
          <w:p w14:paraId="015B0999" w14:textId="77777777" w:rsidR="00086106" w:rsidRPr="00D0262F" w:rsidRDefault="00086106" w:rsidP="00843CA3">
            <w:pPr>
              <w:spacing w:before="60" w:after="60"/>
              <w:jc w:val="both"/>
            </w:pPr>
          </w:p>
        </w:tc>
        <w:tc>
          <w:tcPr>
            <w:tcW w:w="1276" w:type="dxa"/>
            <w:tcBorders>
              <w:top w:val="nil"/>
              <w:left w:val="nil"/>
              <w:bottom w:val="nil"/>
              <w:right w:val="nil"/>
            </w:tcBorders>
          </w:tcPr>
          <w:p w14:paraId="1C8BEEE7" w14:textId="3C132C11" w:rsidR="00086106" w:rsidRPr="00843CA3" w:rsidRDefault="00086106" w:rsidP="00843CA3">
            <w:pPr>
              <w:spacing w:before="60" w:after="60"/>
              <w:jc w:val="both"/>
              <w:rPr>
                <w:lang w:val="en-US"/>
              </w:rPr>
            </w:pPr>
            <w:r>
              <w:t xml:space="preserve">2 </w:t>
            </w:r>
            <w:r>
              <w:rPr>
                <w:lang w:val="en-US"/>
              </w:rPr>
              <w:t>x</w:t>
            </w:r>
            <w:r>
              <w:t xml:space="preserve"> 500</w:t>
            </w:r>
            <w:r>
              <w:rPr>
                <w:lang w:val="en-US"/>
              </w:rPr>
              <w:t>ml</w:t>
            </w:r>
          </w:p>
        </w:tc>
        <w:tc>
          <w:tcPr>
            <w:tcW w:w="1418" w:type="dxa"/>
            <w:tcBorders>
              <w:top w:val="nil"/>
              <w:left w:val="nil"/>
              <w:bottom w:val="nil"/>
              <w:right w:val="nil"/>
            </w:tcBorders>
          </w:tcPr>
          <w:p w14:paraId="3F58CFDD" w14:textId="0BE33159" w:rsidR="00086106" w:rsidRPr="00D0262F" w:rsidRDefault="00086106" w:rsidP="00843CA3">
            <w:pPr>
              <w:spacing w:before="60" w:after="60"/>
              <w:jc w:val="both"/>
            </w:pPr>
            <w:r w:rsidRPr="00D0262F">
              <w:rPr>
                <w:lang w:val="en-US"/>
              </w:rPr>
              <w:t>Polyethylene</w:t>
            </w:r>
          </w:p>
        </w:tc>
        <w:tc>
          <w:tcPr>
            <w:tcW w:w="1559" w:type="dxa"/>
            <w:tcBorders>
              <w:top w:val="nil"/>
              <w:left w:val="nil"/>
              <w:bottom w:val="nil"/>
              <w:right w:val="nil"/>
            </w:tcBorders>
          </w:tcPr>
          <w:p w14:paraId="4D2B1C40" w14:textId="22B5637C" w:rsidR="00086106" w:rsidRPr="00F46ED2" w:rsidRDefault="00086106" w:rsidP="00F46ED2">
            <w:pPr>
              <w:spacing w:before="60" w:after="60"/>
            </w:pPr>
            <w:proofErr w:type="spellStart"/>
            <w:r>
              <w:t>Φιλτραρισμ</w:t>
            </w:r>
            <w:proofErr w:type="spellEnd"/>
            <w:r>
              <w:t>. (0,45μ</w:t>
            </w:r>
            <w:r>
              <w:rPr>
                <w:lang w:val="en-US"/>
              </w:rPr>
              <w:t>m</w:t>
            </w:r>
            <w:r w:rsidRPr="00F46ED2">
              <w:t xml:space="preserve">) </w:t>
            </w:r>
            <w:r>
              <w:t>και οξυνόμενο με διάλυμα 50% νιτρικό οξύ.</w:t>
            </w:r>
          </w:p>
        </w:tc>
        <w:tc>
          <w:tcPr>
            <w:tcW w:w="1559" w:type="dxa"/>
            <w:tcBorders>
              <w:top w:val="nil"/>
              <w:left w:val="nil"/>
              <w:bottom w:val="nil"/>
              <w:right w:val="nil"/>
            </w:tcBorders>
          </w:tcPr>
          <w:p w14:paraId="09E7A602" w14:textId="5AC1DA21" w:rsidR="00086106" w:rsidRPr="00843CA3" w:rsidRDefault="00086106" w:rsidP="00843CA3">
            <w:pPr>
              <w:spacing w:before="60" w:after="60"/>
              <w:jc w:val="both"/>
            </w:pPr>
            <w:r>
              <w:t>Ιχνοστοιχεία</w:t>
            </w:r>
          </w:p>
        </w:tc>
        <w:tc>
          <w:tcPr>
            <w:tcW w:w="1701" w:type="dxa"/>
            <w:tcBorders>
              <w:top w:val="nil"/>
              <w:left w:val="nil"/>
              <w:bottom w:val="nil"/>
              <w:right w:val="nil"/>
            </w:tcBorders>
          </w:tcPr>
          <w:p w14:paraId="66E8936B" w14:textId="23221885" w:rsidR="00086106" w:rsidRDefault="00086106" w:rsidP="00843CA3">
            <w:pPr>
              <w:spacing w:before="60" w:after="60"/>
              <w:jc w:val="both"/>
            </w:pPr>
            <w:r>
              <w:t>Κρατικό Χημείο</w:t>
            </w:r>
          </w:p>
        </w:tc>
      </w:tr>
      <w:tr w:rsidR="00086106" w14:paraId="5AE89CE8" w14:textId="036C655D" w:rsidTr="00086106">
        <w:tc>
          <w:tcPr>
            <w:tcW w:w="567" w:type="dxa"/>
            <w:vMerge/>
            <w:tcBorders>
              <w:left w:val="nil"/>
              <w:right w:val="nil"/>
            </w:tcBorders>
          </w:tcPr>
          <w:p w14:paraId="4E6DC9E8" w14:textId="77777777" w:rsidR="00086106" w:rsidRPr="00D0262F" w:rsidRDefault="00086106" w:rsidP="00843CA3">
            <w:pPr>
              <w:spacing w:before="60" w:after="60"/>
              <w:jc w:val="both"/>
            </w:pPr>
          </w:p>
        </w:tc>
        <w:tc>
          <w:tcPr>
            <w:tcW w:w="1134" w:type="dxa"/>
            <w:vMerge/>
            <w:tcBorders>
              <w:left w:val="nil"/>
              <w:right w:val="nil"/>
            </w:tcBorders>
          </w:tcPr>
          <w:p w14:paraId="64E79D59" w14:textId="77777777" w:rsidR="00086106" w:rsidRPr="00D0262F" w:rsidRDefault="00086106" w:rsidP="00843CA3">
            <w:pPr>
              <w:spacing w:before="60" w:after="60"/>
              <w:jc w:val="both"/>
            </w:pPr>
          </w:p>
        </w:tc>
        <w:tc>
          <w:tcPr>
            <w:tcW w:w="1276" w:type="dxa"/>
            <w:tcBorders>
              <w:top w:val="nil"/>
              <w:left w:val="nil"/>
              <w:bottom w:val="nil"/>
              <w:right w:val="nil"/>
            </w:tcBorders>
          </w:tcPr>
          <w:p w14:paraId="248C57E5" w14:textId="3242129A" w:rsidR="00086106" w:rsidRPr="00843CA3" w:rsidRDefault="00086106" w:rsidP="00843CA3">
            <w:pPr>
              <w:spacing w:before="60" w:after="60"/>
              <w:jc w:val="both"/>
              <w:rPr>
                <w:lang w:val="en-US"/>
              </w:rPr>
            </w:pPr>
            <w:r>
              <w:rPr>
                <w:lang w:val="en-US"/>
              </w:rPr>
              <w:t>2 x 120ml</w:t>
            </w:r>
          </w:p>
        </w:tc>
        <w:tc>
          <w:tcPr>
            <w:tcW w:w="1418" w:type="dxa"/>
            <w:tcBorders>
              <w:top w:val="nil"/>
              <w:left w:val="nil"/>
              <w:bottom w:val="nil"/>
              <w:right w:val="nil"/>
            </w:tcBorders>
          </w:tcPr>
          <w:p w14:paraId="3714A9A2" w14:textId="04D87915" w:rsidR="00086106" w:rsidRPr="00D0262F" w:rsidRDefault="00086106" w:rsidP="00843CA3">
            <w:pPr>
              <w:spacing w:before="60" w:after="60"/>
              <w:jc w:val="both"/>
            </w:pPr>
            <w:r>
              <w:t>Γυάλινη</w:t>
            </w:r>
          </w:p>
        </w:tc>
        <w:tc>
          <w:tcPr>
            <w:tcW w:w="1559" w:type="dxa"/>
            <w:tcBorders>
              <w:top w:val="nil"/>
              <w:left w:val="nil"/>
              <w:bottom w:val="nil"/>
              <w:right w:val="nil"/>
            </w:tcBorders>
          </w:tcPr>
          <w:p w14:paraId="2EBC8398" w14:textId="698B3DD1" w:rsidR="00086106" w:rsidRPr="00D0262F" w:rsidRDefault="00086106" w:rsidP="00843CA3">
            <w:pPr>
              <w:spacing w:before="60" w:after="60"/>
              <w:jc w:val="both"/>
            </w:pPr>
            <w:r>
              <w:t>Αφιλτράριστο</w:t>
            </w:r>
          </w:p>
        </w:tc>
        <w:tc>
          <w:tcPr>
            <w:tcW w:w="1559" w:type="dxa"/>
            <w:tcBorders>
              <w:top w:val="nil"/>
              <w:left w:val="nil"/>
              <w:bottom w:val="nil"/>
              <w:right w:val="nil"/>
            </w:tcBorders>
          </w:tcPr>
          <w:p w14:paraId="11112C99" w14:textId="087D8CFC" w:rsidR="00086106" w:rsidRPr="00D0262F" w:rsidRDefault="00086106" w:rsidP="00843CA3">
            <w:pPr>
              <w:spacing w:before="60" w:after="60"/>
              <w:jc w:val="both"/>
            </w:pPr>
            <w:r>
              <w:t>Πτητικά</w:t>
            </w:r>
          </w:p>
        </w:tc>
        <w:tc>
          <w:tcPr>
            <w:tcW w:w="1701" w:type="dxa"/>
            <w:tcBorders>
              <w:top w:val="nil"/>
              <w:left w:val="nil"/>
              <w:bottom w:val="nil"/>
              <w:right w:val="nil"/>
            </w:tcBorders>
          </w:tcPr>
          <w:p w14:paraId="70794D11" w14:textId="6E136015" w:rsidR="00086106" w:rsidRDefault="00086106" w:rsidP="00843CA3">
            <w:pPr>
              <w:spacing w:before="60" w:after="60"/>
              <w:jc w:val="both"/>
            </w:pPr>
            <w:r>
              <w:t>Κρατικό Χημείο</w:t>
            </w:r>
          </w:p>
        </w:tc>
      </w:tr>
      <w:tr w:rsidR="00086106" w14:paraId="1A64B6F6" w14:textId="788E6C6D" w:rsidTr="00086106">
        <w:tc>
          <w:tcPr>
            <w:tcW w:w="567" w:type="dxa"/>
            <w:vMerge/>
            <w:tcBorders>
              <w:left w:val="nil"/>
              <w:bottom w:val="single" w:sz="4" w:space="0" w:color="auto"/>
              <w:right w:val="nil"/>
            </w:tcBorders>
          </w:tcPr>
          <w:p w14:paraId="5E26A08D" w14:textId="77777777" w:rsidR="00086106" w:rsidRPr="00D0262F" w:rsidRDefault="00086106" w:rsidP="00843CA3">
            <w:pPr>
              <w:spacing w:before="60" w:after="60"/>
              <w:jc w:val="both"/>
            </w:pPr>
          </w:p>
        </w:tc>
        <w:tc>
          <w:tcPr>
            <w:tcW w:w="1134" w:type="dxa"/>
            <w:vMerge/>
            <w:tcBorders>
              <w:left w:val="nil"/>
              <w:bottom w:val="single" w:sz="4" w:space="0" w:color="auto"/>
              <w:right w:val="nil"/>
            </w:tcBorders>
          </w:tcPr>
          <w:p w14:paraId="0AEA215C" w14:textId="77777777" w:rsidR="00086106" w:rsidRPr="00D0262F" w:rsidRDefault="00086106" w:rsidP="00843CA3">
            <w:pPr>
              <w:spacing w:before="60" w:after="60"/>
              <w:jc w:val="both"/>
            </w:pPr>
          </w:p>
        </w:tc>
        <w:tc>
          <w:tcPr>
            <w:tcW w:w="1276" w:type="dxa"/>
            <w:tcBorders>
              <w:top w:val="nil"/>
              <w:left w:val="nil"/>
              <w:bottom w:val="single" w:sz="4" w:space="0" w:color="auto"/>
              <w:right w:val="nil"/>
            </w:tcBorders>
          </w:tcPr>
          <w:p w14:paraId="530E7B9F" w14:textId="0045980B" w:rsidR="00086106" w:rsidRPr="00843CA3" w:rsidRDefault="00086106" w:rsidP="00843CA3">
            <w:pPr>
              <w:spacing w:before="60" w:after="60"/>
              <w:jc w:val="both"/>
              <w:rPr>
                <w:lang w:val="en-US"/>
              </w:rPr>
            </w:pPr>
            <w:r>
              <w:rPr>
                <w:lang w:val="en-US"/>
              </w:rPr>
              <w:t>1 x 1000ml</w:t>
            </w:r>
          </w:p>
        </w:tc>
        <w:tc>
          <w:tcPr>
            <w:tcW w:w="1418" w:type="dxa"/>
            <w:tcBorders>
              <w:top w:val="nil"/>
              <w:left w:val="nil"/>
              <w:bottom w:val="single" w:sz="4" w:space="0" w:color="auto"/>
              <w:right w:val="nil"/>
            </w:tcBorders>
          </w:tcPr>
          <w:p w14:paraId="6DA95B40" w14:textId="1EA61762" w:rsidR="00086106" w:rsidRPr="00D0262F" w:rsidRDefault="00086106" w:rsidP="00843CA3">
            <w:pPr>
              <w:spacing w:before="60" w:after="60"/>
              <w:jc w:val="both"/>
            </w:pPr>
            <w:r w:rsidRPr="00D0262F">
              <w:rPr>
                <w:lang w:val="en-US"/>
              </w:rPr>
              <w:t>Polyethylene</w:t>
            </w:r>
          </w:p>
        </w:tc>
        <w:tc>
          <w:tcPr>
            <w:tcW w:w="1559" w:type="dxa"/>
            <w:tcBorders>
              <w:top w:val="nil"/>
              <w:left w:val="nil"/>
              <w:bottom w:val="single" w:sz="4" w:space="0" w:color="auto"/>
              <w:right w:val="nil"/>
            </w:tcBorders>
          </w:tcPr>
          <w:p w14:paraId="151E93F3" w14:textId="3744E829" w:rsidR="00086106" w:rsidRPr="00D0262F" w:rsidRDefault="00086106" w:rsidP="00843CA3">
            <w:pPr>
              <w:spacing w:before="60" w:after="60"/>
              <w:jc w:val="both"/>
            </w:pPr>
            <w:r>
              <w:t>Αφιλτράριστο</w:t>
            </w:r>
          </w:p>
        </w:tc>
        <w:tc>
          <w:tcPr>
            <w:tcW w:w="1559" w:type="dxa"/>
            <w:tcBorders>
              <w:top w:val="nil"/>
              <w:left w:val="nil"/>
              <w:bottom w:val="single" w:sz="4" w:space="0" w:color="auto"/>
              <w:right w:val="nil"/>
            </w:tcBorders>
          </w:tcPr>
          <w:p w14:paraId="511E81C1" w14:textId="1A2D7DBE" w:rsidR="00086106" w:rsidRPr="00D0262F" w:rsidRDefault="00086106" w:rsidP="00843CA3">
            <w:pPr>
              <w:spacing w:before="60" w:after="60"/>
              <w:jc w:val="both"/>
            </w:pPr>
            <w:r>
              <w:t>Ιόντα</w:t>
            </w:r>
          </w:p>
        </w:tc>
        <w:tc>
          <w:tcPr>
            <w:tcW w:w="1701" w:type="dxa"/>
            <w:tcBorders>
              <w:top w:val="nil"/>
              <w:left w:val="nil"/>
              <w:bottom w:val="single" w:sz="4" w:space="0" w:color="auto"/>
              <w:right w:val="nil"/>
            </w:tcBorders>
          </w:tcPr>
          <w:p w14:paraId="0AE27721" w14:textId="785A078D" w:rsidR="00086106" w:rsidRDefault="00086106" w:rsidP="00843CA3">
            <w:pPr>
              <w:spacing w:before="60" w:after="60"/>
              <w:jc w:val="both"/>
            </w:pPr>
            <w:r>
              <w:t>Κρατικό Χημείο</w:t>
            </w:r>
          </w:p>
        </w:tc>
      </w:tr>
      <w:tr w:rsidR="00086106" w14:paraId="45EA8568" w14:textId="2D00E543" w:rsidTr="00086106">
        <w:tc>
          <w:tcPr>
            <w:tcW w:w="7513" w:type="dxa"/>
            <w:gridSpan w:val="6"/>
            <w:tcBorders>
              <w:left w:val="nil"/>
              <w:bottom w:val="nil"/>
              <w:right w:val="nil"/>
            </w:tcBorders>
          </w:tcPr>
          <w:p w14:paraId="31C74D3A" w14:textId="1F9BBDDC" w:rsidR="00086106" w:rsidRPr="00645B86" w:rsidRDefault="00086106" w:rsidP="00D92A4A">
            <w:pPr>
              <w:spacing w:before="60" w:after="60"/>
              <w:jc w:val="both"/>
            </w:pPr>
            <w:r w:rsidRPr="00645B86">
              <w:rPr>
                <w:sz w:val="20"/>
                <w:szCs w:val="20"/>
              </w:rPr>
              <w:t>*</w:t>
            </w:r>
            <w:r>
              <w:rPr>
                <w:sz w:val="20"/>
                <w:szCs w:val="20"/>
              </w:rPr>
              <w:t xml:space="preserve"> </w:t>
            </w:r>
            <w:r w:rsidRPr="00645B86">
              <w:rPr>
                <w:sz w:val="20"/>
                <w:szCs w:val="20"/>
              </w:rPr>
              <w:t>είναι μέρος των 238 σταθμών για την Οδηγία 1991/676/ΕΟΚ</w:t>
            </w:r>
          </w:p>
        </w:tc>
        <w:tc>
          <w:tcPr>
            <w:tcW w:w="1701" w:type="dxa"/>
            <w:tcBorders>
              <w:left w:val="nil"/>
              <w:bottom w:val="nil"/>
              <w:right w:val="nil"/>
            </w:tcBorders>
          </w:tcPr>
          <w:p w14:paraId="1667FEA1" w14:textId="77777777" w:rsidR="00086106" w:rsidRPr="00645B86" w:rsidRDefault="00086106" w:rsidP="00D92A4A">
            <w:pPr>
              <w:spacing w:before="60" w:after="60"/>
              <w:jc w:val="both"/>
              <w:rPr>
                <w:sz w:val="20"/>
                <w:szCs w:val="20"/>
              </w:rPr>
            </w:pPr>
          </w:p>
        </w:tc>
      </w:tr>
    </w:tbl>
    <w:p w14:paraId="252C1855" w14:textId="2665A02D" w:rsidR="003564B2" w:rsidRPr="0064567B" w:rsidRDefault="0064567B" w:rsidP="0064567B">
      <w:pPr>
        <w:jc w:val="both"/>
        <w:rPr>
          <w:sz w:val="24"/>
          <w:u w:val="single"/>
        </w:rPr>
      </w:pPr>
      <w:r w:rsidRPr="0064567B">
        <w:rPr>
          <w:sz w:val="24"/>
          <w:u w:val="single"/>
        </w:rPr>
        <w:lastRenderedPageBreak/>
        <w:t>Υ</w:t>
      </w:r>
      <w:r w:rsidR="003564B2" w:rsidRPr="0064567B">
        <w:rPr>
          <w:sz w:val="24"/>
          <w:u w:val="single"/>
        </w:rPr>
        <w:t xml:space="preserve">ποχρεώσεις </w:t>
      </w:r>
      <w:r w:rsidR="00AB029E" w:rsidRPr="0064567B">
        <w:rPr>
          <w:sz w:val="24"/>
          <w:u w:val="single"/>
        </w:rPr>
        <w:t>Επιτυχόντα Οικονομικού Φορέα</w:t>
      </w:r>
      <w:r w:rsidR="003564B2" w:rsidRPr="0064567B">
        <w:rPr>
          <w:sz w:val="24"/>
          <w:u w:val="single"/>
        </w:rPr>
        <w:t>:</w:t>
      </w:r>
    </w:p>
    <w:p w14:paraId="27AE2D27" w14:textId="77777777" w:rsidR="008E1668" w:rsidRDefault="007031D0" w:rsidP="0064567B">
      <w:pPr>
        <w:pStyle w:val="ListParagraph"/>
        <w:numPr>
          <w:ilvl w:val="0"/>
          <w:numId w:val="1"/>
        </w:numPr>
        <w:ind w:left="284" w:hanging="284"/>
        <w:jc w:val="both"/>
        <w:rPr>
          <w:sz w:val="24"/>
        </w:rPr>
      </w:pPr>
      <w:r>
        <w:rPr>
          <w:sz w:val="24"/>
        </w:rPr>
        <w:t xml:space="preserve">Υπαίθρια εργασία </w:t>
      </w:r>
      <w:r w:rsidR="0064567B">
        <w:rPr>
          <w:sz w:val="24"/>
        </w:rPr>
        <w:t>και</w:t>
      </w:r>
      <w:r>
        <w:rPr>
          <w:sz w:val="24"/>
        </w:rPr>
        <w:t xml:space="preserve"> δ</w:t>
      </w:r>
      <w:r w:rsidR="003564B2">
        <w:rPr>
          <w:sz w:val="24"/>
        </w:rPr>
        <w:t>ειγματοληψία από όλους τους σ</w:t>
      </w:r>
      <w:r>
        <w:rPr>
          <w:sz w:val="24"/>
        </w:rPr>
        <w:t>ταθμούς παρακολούθησης</w:t>
      </w:r>
      <w:r w:rsidR="0064567B">
        <w:rPr>
          <w:sz w:val="24"/>
        </w:rPr>
        <w:t xml:space="preserve"> δύο φορές το χρόνο (πρώτη ετήσια δειγματοληψία την περίοδο Μάρτιος-Μάϊος και δεύτερη την περίοδο Οκτώβριος - Δεκέμβριος).</w:t>
      </w:r>
    </w:p>
    <w:p w14:paraId="6006F474" w14:textId="77777777" w:rsidR="00947F35" w:rsidRPr="0064567B" w:rsidRDefault="00947F35" w:rsidP="0064567B">
      <w:pPr>
        <w:pStyle w:val="ListParagraph"/>
        <w:numPr>
          <w:ilvl w:val="0"/>
          <w:numId w:val="1"/>
        </w:numPr>
        <w:ind w:left="284" w:hanging="284"/>
        <w:jc w:val="both"/>
        <w:rPr>
          <w:sz w:val="24"/>
        </w:rPr>
      </w:pPr>
      <w:r>
        <w:rPr>
          <w:sz w:val="24"/>
        </w:rPr>
        <w:t>Ετοιμασία δειγμάτων</w:t>
      </w:r>
      <w:r>
        <w:rPr>
          <w:rStyle w:val="FootnoteReference"/>
          <w:sz w:val="24"/>
        </w:rPr>
        <w:footnoteReference w:id="1"/>
      </w:r>
      <w:r>
        <w:rPr>
          <w:sz w:val="24"/>
        </w:rPr>
        <w:t>.</w:t>
      </w:r>
    </w:p>
    <w:p w14:paraId="05DCE454" w14:textId="0E5E92DB" w:rsidR="007031D0" w:rsidRDefault="007031D0" w:rsidP="0064567B">
      <w:pPr>
        <w:pStyle w:val="ListParagraph"/>
        <w:numPr>
          <w:ilvl w:val="0"/>
          <w:numId w:val="1"/>
        </w:numPr>
        <w:ind w:left="284" w:hanging="284"/>
        <w:jc w:val="both"/>
        <w:rPr>
          <w:sz w:val="24"/>
        </w:rPr>
      </w:pPr>
      <w:proofErr w:type="spellStart"/>
      <w:r>
        <w:rPr>
          <w:sz w:val="24"/>
        </w:rPr>
        <w:t>Επι</w:t>
      </w:r>
      <w:proofErr w:type="spellEnd"/>
      <w:r w:rsidRPr="007031D0">
        <w:rPr>
          <w:sz w:val="24"/>
        </w:rPr>
        <w:t xml:space="preserve"> </w:t>
      </w:r>
      <w:r>
        <w:rPr>
          <w:sz w:val="24"/>
        </w:rPr>
        <w:t>τόπου</w:t>
      </w:r>
      <w:r w:rsidRPr="007031D0">
        <w:rPr>
          <w:sz w:val="24"/>
        </w:rPr>
        <w:t xml:space="preserve"> (</w:t>
      </w:r>
      <w:r>
        <w:rPr>
          <w:sz w:val="24"/>
          <w:lang w:val="en-US"/>
        </w:rPr>
        <w:t>in</w:t>
      </w:r>
      <w:r w:rsidRPr="007031D0">
        <w:rPr>
          <w:sz w:val="24"/>
        </w:rPr>
        <w:t>-</w:t>
      </w:r>
      <w:r>
        <w:rPr>
          <w:sz w:val="24"/>
          <w:lang w:val="en-US"/>
        </w:rPr>
        <w:t>situ</w:t>
      </w:r>
      <w:r w:rsidRPr="007031D0">
        <w:rPr>
          <w:sz w:val="24"/>
        </w:rPr>
        <w:t xml:space="preserve">) </w:t>
      </w:r>
      <w:r>
        <w:rPr>
          <w:sz w:val="24"/>
        </w:rPr>
        <w:t>ανάλυση</w:t>
      </w:r>
      <w:r w:rsidRPr="007031D0">
        <w:rPr>
          <w:sz w:val="24"/>
        </w:rPr>
        <w:t xml:space="preserve"> </w:t>
      </w:r>
      <w:r>
        <w:rPr>
          <w:sz w:val="24"/>
        </w:rPr>
        <w:t xml:space="preserve">των παραμέτρων </w:t>
      </w:r>
      <w:r>
        <w:rPr>
          <w:sz w:val="24"/>
          <w:lang w:val="en-US"/>
        </w:rPr>
        <w:t>pH</w:t>
      </w:r>
      <w:r w:rsidRPr="007031D0">
        <w:rPr>
          <w:sz w:val="24"/>
        </w:rPr>
        <w:t xml:space="preserve">, </w:t>
      </w:r>
      <w:r>
        <w:rPr>
          <w:sz w:val="24"/>
          <w:lang w:val="en-US"/>
        </w:rPr>
        <w:t>DO</w:t>
      </w:r>
      <w:r w:rsidRPr="007031D0">
        <w:rPr>
          <w:sz w:val="24"/>
        </w:rPr>
        <w:t xml:space="preserve">, </w:t>
      </w:r>
      <w:r>
        <w:rPr>
          <w:sz w:val="24"/>
          <w:lang w:val="en-US"/>
        </w:rPr>
        <w:t>EC</w:t>
      </w:r>
      <w:r w:rsidRPr="007031D0">
        <w:rPr>
          <w:sz w:val="24"/>
        </w:rPr>
        <w:t>,</w:t>
      </w:r>
      <w:r w:rsidR="0064567B">
        <w:rPr>
          <w:sz w:val="24"/>
        </w:rPr>
        <w:t xml:space="preserve"> </w:t>
      </w:r>
      <w:r>
        <w:rPr>
          <w:sz w:val="24"/>
          <w:lang w:val="en-US"/>
        </w:rPr>
        <w:t>T</w:t>
      </w:r>
      <w:r w:rsidRPr="007031D0">
        <w:rPr>
          <w:sz w:val="24"/>
        </w:rPr>
        <w:t xml:space="preserve"> </w:t>
      </w:r>
      <w:r>
        <w:rPr>
          <w:sz w:val="24"/>
        </w:rPr>
        <w:t xml:space="preserve">από όλους τους σταθμούς παρακολούθησης, με </w:t>
      </w:r>
      <w:r w:rsidR="003352A8">
        <w:rPr>
          <w:sz w:val="24"/>
        </w:rPr>
        <w:t xml:space="preserve">κατάλληλα </w:t>
      </w:r>
      <w:proofErr w:type="spellStart"/>
      <w:r w:rsidR="003352A8">
        <w:rPr>
          <w:sz w:val="24"/>
        </w:rPr>
        <w:t>πολύμετρα</w:t>
      </w:r>
      <w:proofErr w:type="spellEnd"/>
      <w:r w:rsidR="003352A8">
        <w:rPr>
          <w:sz w:val="24"/>
        </w:rPr>
        <w:t>/</w:t>
      </w:r>
      <w:r>
        <w:rPr>
          <w:sz w:val="24"/>
        </w:rPr>
        <w:t>όργανα.</w:t>
      </w:r>
    </w:p>
    <w:p w14:paraId="06302A5C" w14:textId="098CFA43" w:rsidR="007031D0" w:rsidRDefault="008E1668" w:rsidP="0064567B">
      <w:pPr>
        <w:pStyle w:val="ListParagraph"/>
        <w:numPr>
          <w:ilvl w:val="0"/>
          <w:numId w:val="1"/>
        </w:numPr>
        <w:ind w:left="284" w:hanging="284"/>
        <w:jc w:val="both"/>
        <w:rPr>
          <w:sz w:val="24"/>
        </w:rPr>
      </w:pPr>
      <w:r>
        <w:rPr>
          <w:sz w:val="24"/>
        </w:rPr>
        <w:t xml:space="preserve">Μεταφορά </w:t>
      </w:r>
      <w:r w:rsidR="0064567B">
        <w:rPr>
          <w:sz w:val="24"/>
        </w:rPr>
        <w:t xml:space="preserve">και παράδοση </w:t>
      </w:r>
      <w:r>
        <w:rPr>
          <w:sz w:val="24"/>
        </w:rPr>
        <w:t xml:space="preserve">των δειγμάτων </w:t>
      </w:r>
      <w:r w:rsidR="003352A8">
        <w:rPr>
          <w:sz w:val="24"/>
        </w:rPr>
        <w:t>στο</w:t>
      </w:r>
      <w:r>
        <w:rPr>
          <w:sz w:val="24"/>
        </w:rPr>
        <w:t xml:space="preserve"> Τμήμα Γεωλογικής Επισκόπησης και </w:t>
      </w:r>
      <w:r w:rsidR="003352A8">
        <w:rPr>
          <w:sz w:val="24"/>
        </w:rPr>
        <w:t xml:space="preserve">στο </w:t>
      </w:r>
      <w:r>
        <w:rPr>
          <w:sz w:val="24"/>
        </w:rPr>
        <w:t>Κρατικό Χημείο</w:t>
      </w:r>
      <w:r w:rsidR="0064567B">
        <w:rPr>
          <w:sz w:val="24"/>
        </w:rPr>
        <w:t xml:space="preserve">, την ίδια ή την επομένη </w:t>
      </w:r>
      <w:r w:rsidR="003352A8">
        <w:rPr>
          <w:sz w:val="24"/>
        </w:rPr>
        <w:t xml:space="preserve">μέρα </w:t>
      </w:r>
      <w:r w:rsidR="0064567B">
        <w:rPr>
          <w:sz w:val="24"/>
        </w:rPr>
        <w:t xml:space="preserve">της δειγματοληψίας. </w:t>
      </w:r>
    </w:p>
    <w:p w14:paraId="00D5B59C" w14:textId="77777777" w:rsidR="00386F6C" w:rsidRDefault="00386F6C" w:rsidP="00386F6C">
      <w:pPr>
        <w:pStyle w:val="ListParagraph"/>
        <w:ind w:left="284"/>
        <w:jc w:val="both"/>
        <w:rPr>
          <w:sz w:val="24"/>
        </w:rPr>
      </w:pPr>
    </w:p>
    <w:p w14:paraId="4D15F305" w14:textId="7417C473" w:rsidR="00386F6C" w:rsidRDefault="00386F6C" w:rsidP="002E2898">
      <w:pPr>
        <w:pStyle w:val="ListParagraph"/>
        <w:ind w:left="0" w:firstLine="284"/>
        <w:jc w:val="both"/>
        <w:rPr>
          <w:rFonts w:cstheme="minorHAnsi"/>
          <w:sz w:val="24"/>
        </w:rPr>
      </w:pPr>
      <w:r>
        <w:rPr>
          <w:sz w:val="24"/>
        </w:rPr>
        <w:t xml:space="preserve">Η παρούσα ανακοίνωση εκδίδεται για σκοπούς προκαταρκτικής ενημέρωσης της αγοράς, ώστε οι ενδιαφερόμενοι Οικονομικοί Φορείς να προετοιμαστούν εγκαίρως για την επικείμενη διαδικασία. Οι λεπτομέρειες του διαγωνισμού θα δημοσιευτούν με την επίσημη προκήρυξη μέσω του </w:t>
      </w:r>
      <w:r w:rsidRPr="00386F6C">
        <w:rPr>
          <w:rFonts w:cstheme="minorHAnsi"/>
          <w:sz w:val="24"/>
        </w:rPr>
        <w:t>Συστήματος Ηλεκτρονικών Δημοσίων Συμβάσεων (</w:t>
      </w:r>
      <w:proofErr w:type="spellStart"/>
      <w:r w:rsidRPr="00386F6C">
        <w:rPr>
          <w:rFonts w:cstheme="minorHAnsi"/>
          <w:sz w:val="24"/>
        </w:rPr>
        <w:t>eProcurement</w:t>
      </w:r>
      <w:proofErr w:type="spellEnd"/>
      <w:r w:rsidRPr="00386F6C">
        <w:rPr>
          <w:rFonts w:cstheme="minorHAnsi"/>
          <w:sz w:val="24"/>
        </w:rPr>
        <w:t>).</w:t>
      </w:r>
      <w:r>
        <w:rPr>
          <w:rFonts w:cstheme="minorHAnsi"/>
          <w:sz w:val="24"/>
        </w:rPr>
        <w:t xml:space="preserve"> Για περισσότερες πληροφορίες, για καλύτερο προγραμματισμό, μην διστάσετε να επικοινωνήσετε με το Τμήμα Γεωλογικής Επισκόπησης και τους Αρμόδιους Λειτουργούς στα τηλέφωνα 22409240 και 22409241.  </w:t>
      </w:r>
    </w:p>
    <w:p w14:paraId="06A34484" w14:textId="07153F6A" w:rsidR="007E2882" w:rsidRPr="0076584A" w:rsidRDefault="0076584A" w:rsidP="0076584A">
      <w:pPr>
        <w:rPr>
          <w:rFonts w:cstheme="minorHAnsi"/>
          <w:sz w:val="28"/>
        </w:rPr>
        <w:sectPr w:rsidR="007E2882" w:rsidRPr="0076584A" w:rsidSect="00086106">
          <w:pgSz w:w="11906" w:h="16838"/>
          <w:pgMar w:top="1418" w:right="1361" w:bottom="1418" w:left="1361" w:header="709" w:footer="709" w:gutter="0"/>
          <w:cols w:space="708"/>
          <w:docGrid w:linePitch="360"/>
        </w:sectPr>
      </w:pPr>
      <w:r>
        <w:rPr>
          <w:rFonts w:cstheme="minorHAnsi"/>
          <w:sz w:val="28"/>
        </w:rPr>
        <w:br w:type="page"/>
      </w:r>
    </w:p>
    <w:p w14:paraId="640EA866" w14:textId="4B07DF37" w:rsidR="0076584A" w:rsidRPr="0076584A" w:rsidRDefault="0076584A" w:rsidP="0076584A">
      <w:pPr>
        <w:pStyle w:val="ListParagraph"/>
        <w:ind w:left="0"/>
        <w:jc w:val="both"/>
        <w:rPr>
          <w:b/>
          <w:sz w:val="24"/>
        </w:rPr>
      </w:pPr>
      <w:r w:rsidRPr="0076584A">
        <w:rPr>
          <w:b/>
          <w:sz w:val="24"/>
        </w:rPr>
        <w:lastRenderedPageBreak/>
        <w:t xml:space="preserve">ΠΑΡΑΡΤΗΜΑ (Ι): </w:t>
      </w:r>
      <w:r w:rsidR="00F16613">
        <w:rPr>
          <w:b/>
          <w:sz w:val="24"/>
        </w:rPr>
        <w:t xml:space="preserve">Ενδεικτική </w:t>
      </w:r>
      <w:r w:rsidRPr="0076584A">
        <w:rPr>
          <w:b/>
          <w:sz w:val="24"/>
        </w:rPr>
        <w:t>Χωρική κατανομή σταθμών παρακολούθησης</w:t>
      </w:r>
    </w:p>
    <w:p w14:paraId="5E4D5EB6" w14:textId="45951B0F" w:rsidR="0076584A" w:rsidRDefault="0076584A" w:rsidP="0076584A">
      <w:pPr>
        <w:pStyle w:val="ListParagraph"/>
        <w:ind w:left="0"/>
        <w:jc w:val="both"/>
        <w:rPr>
          <w:sz w:val="24"/>
        </w:rPr>
      </w:pPr>
      <w:bookmarkStart w:id="0" w:name="_GoBack"/>
      <w:r>
        <w:rPr>
          <w:noProof/>
          <w:sz w:val="24"/>
        </w:rPr>
        <w:drawing>
          <wp:inline distT="0" distB="0" distL="0" distR="0" wp14:anchorId="043BEAFD" wp14:editId="032050B9">
            <wp:extent cx="9261435" cy="5781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9292565" cy="5801109"/>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0B8BEFCA" w14:textId="215F4100" w:rsidR="0076584A" w:rsidRPr="0076584A" w:rsidRDefault="0076584A" w:rsidP="0076584A">
      <w:pPr>
        <w:pStyle w:val="ListParagraph"/>
        <w:ind w:left="0"/>
        <w:jc w:val="both"/>
        <w:rPr>
          <w:sz w:val="24"/>
        </w:rPr>
        <w:sectPr w:rsidR="0076584A" w:rsidRPr="0076584A" w:rsidSect="0076584A">
          <w:pgSz w:w="16838" w:h="11906" w:orient="landscape"/>
          <w:pgMar w:top="851" w:right="1134" w:bottom="851" w:left="1134" w:header="709" w:footer="709" w:gutter="0"/>
          <w:cols w:space="708"/>
          <w:docGrid w:linePitch="360"/>
        </w:sectPr>
      </w:pPr>
    </w:p>
    <w:p w14:paraId="7A349CD3" w14:textId="54C7AEDB" w:rsidR="00386F6C" w:rsidRPr="0076584A" w:rsidRDefault="00386F6C" w:rsidP="0076584A">
      <w:pPr>
        <w:pStyle w:val="ListParagraph"/>
        <w:ind w:left="0"/>
        <w:jc w:val="both"/>
        <w:rPr>
          <w:sz w:val="24"/>
        </w:rPr>
      </w:pPr>
    </w:p>
    <w:sectPr w:rsidR="00386F6C" w:rsidRPr="0076584A" w:rsidSect="00086106">
      <w:pgSz w:w="11906" w:h="16838"/>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34069" w14:textId="77777777" w:rsidR="00C14889" w:rsidRDefault="00C14889" w:rsidP="00947F35">
      <w:pPr>
        <w:spacing w:after="0" w:line="240" w:lineRule="auto"/>
      </w:pPr>
      <w:r>
        <w:separator/>
      </w:r>
    </w:p>
  </w:endnote>
  <w:endnote w:type="continuationSeparator" w:id="0">
    <w:p w14:paraId="687B2F3C" w14:textId="77777777" w:rsidR="00C14889" w:rsidRDefault="00C14889" w:rsidP="0094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E58C5" w14:textId="77777777" w:rsidR="00C14889" w:rsidRDefault="00C14889" w:rsidP="00947F35">
      <w:pPr>
        <w:spacing w:after="0" w:line="240" w:lineRule="auto"/>
      </w:pPr>
      <w:r>
        <w:separator/>
      </w:r>
    </w:p>
  </w:footnote>
  <w:footnote w:type="continuationSeparator" w:id="0">
    <w:p w14:paraId="6025A548" w14:textId="77777777" w:rsidR="00C14889" w:rsidRDefault="00C14889" w:rsidP="00947F35">
      <w:pPr>
        <w:spacing w:after="0" w:line="240" w:lineRule="auto"/>
      </w:pPr>
      <w:r>
        <w:continuationSeparator/>
      </w:r>
    </w:p>
  </w:footnote>
  <w:footnote w:id="1">
    <w:p w14:paraId="53C5386A" w14:textId="77777777" w:rsidR="00947F35" w:rsidRDefault="00947F35">
      <w:pPr>
        <w:pStyle w:val="FootnoteText"/>
      </w:pPr>
      <w:r>
        <w:rPr>
          <w:rStyle w:val="FootnoteReference"/>
        </w:rPr>
        <w:footnoteRef/>
      </w:r>
      <w:r>
        <w:t xml:space="preserve"> Φιλτράρισμα και συντήρηση με οξύ όπου απαιτείται, φύλαξη σε φορητά ψυγεία ή παγωνιέρες μέχρι την μεταφορά.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AC62A8"/>
    <w:multiLevelType w:val="hybridMultilevel"/>
    <w:tmpl w:val="09568D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F5"/>
    <w:rsid w:val="00036F7F"/>
    <w:rsid w:val="00086106"/>
    <w:rsid w:val="000D0BF2"/>
    <w:rsid w:val="00116363"/>
    <w:rsid w:val="00126DC2"/>
    <w:rsid w:val="001A0358"/>
    <w:rsid w:val="002C5642"/>
    <w:rsid w:val="002E2898"/>
    <w:rsid w:val="003352A8"/>
    <w:rsid w:val="0035113B"/>
    <w:rsid w:val="003564B2"/>
    <w:rsid w:val="00386F6C"/>
    <w:rsid w:val="00401F61"/>
    <w:rsid w:val="005824F5"/>
    <w:rsid w:val="005840C5"/>
    <w:rsid w:val="0064567B"/>
    <w:rsid w:val="00645B86"/>
    <w:rsid w:val="00670AC3"/>
    <w:rsid w:val="006F1312"/>
    <w:rsid w:val="007031D0"/>
    <w:rsid w:val="0076584A"/>
    <w:rsid w:val="00783333"/>
    <w:rsid w:val="007E2882"/>
    <w:rsid w:val="00843CA3"/>
    <w:rsid w:val="008447FA"/>
    <w:rsid w:val="008910DA"/>
    <w:rsid w:val="008E1668"/>
    <w:rsid w:val="00941C97"/>
    <w:rsid w:val="00947F35"/>
    <w:rsid w:val="009A58FC"/>
    <w:rsid w:val="00A62DB9"/>
    <w:rsid w:val="00AA5D75"/>
    <w:rsid w:val="00AB029E"/>
    <w:rsid w:val="00B14A97"/>
    <w:rsid w:val="00B914FA"/>
    <w:rsid w:val="00C07139"/>
    <w:rsid w:val="00C14889"/>
    <w:rsid w:val="00D0262F"/>
    <w:rsid w:val="00D66AED"/>
    <w:rsid w:val="00D77FBF"/>
    <w:rsid w:val="00D92A4A"/>
    <w:rsid w:val="00DB4CFE"/>
    <w:rsid w:val="00EA0C45"/>
    <w:rsid w:val="00F16613"/>
    <w:rsid w:val="00F41427"/>
    <w:rsid w:val="00F46ED2"/>
    <w:rsid w:val="00FE64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633C"/>
  <w15:chartTrackingRefBased/>
  <w15:docId w15:val="{4F0AA026-61D3-4E47-B93E-5C1E19E2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4B2"/>
    <w:pPr>
      <w:ind w:left="720"/>
      <w:contextualSpacing/>
    </w:pPr>
  </w:style>
  <w:style w:type="paragraph" w:styleId="FootnoteText">
    <w:name w:val="footnote text"/>
    <w:basedOn w:val="Normal"/>
    <w:link w:val="FootnoteTextChar"/>
    <w:uiPriority w:val="99"/>
    <w:semiHidden/>
    <w:unhideWhenUsed/>
    <w:rsid w:val="00947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F35"/>
    <w:rPr>
      <w:sz w:val="20"/>
      <w:szCs w:val="20"/>
    </w:rPr>
  </w:style>
  <w:style w:type="character" w:styleId="FootnoteReference">
    <w:name w:val="footnote reference"/>
    <w:basedOn w:val="DefaultParagraphFont"/>
    <w:uiPriority w:val="99"/>
    <w:semiHidden/>
    <w:unhideWhenUsed/>
    <w:rsid w:val="00947F35"/>
    <w:rPr>
      <w:vertAlign w:val="superscript"/>
    </w:rPr>
  </w:style>
  <w:style w:type="character" w:styleId="CommentReference">
    <w:name w:val="annotation reference"/>
    <w:basedOn w:val="DefaultParagraphFont"/>
    <w:uiPriority w:val="99"/>
    <w:semiHidden/>
    <w:unhideWhenUsed/>
    <w:rsid w:val="00386F6C"/>
    <w:rPr>
      <w:sz w:val="16"/>
      <w:szCs w:val="16"/>
    </w:rPr>
  </w:style>
  <w:style w:type="paragraph" w:styleId="CommentText">
    <w:name w:val="annotation text"/>
    <w:basedOn w:val="Normal"/>
    <w:link w:val="CommentTextChar"/>
    <w:uiPriority w:val="99"/>
    <w:semiHidden/>
    <w:unhideWhenUsed/>
    <w:rsid w:val="00386F6C"/>
    <w:pPr>
      <w:spacing w:line="240" w:lineRule="auto"/>
    </w:pPr>
    <w:rPr>
      <w:sz w:val="20"/>
      <w:szCs w:val="20"/>
    </w:rPr>
  </w:style>
  <w:style w:type="character" w:customStyle="1" w:styleId="CommentTextChar">
    <w:name w:val="Comment Text Char"/>
    <w:basedOn w:val="DefaultParagraphFont"/>
    <w:link w:val="CommentText"/>
    <w:uiPriority w:val="99"/>
    <w:semiHidden/>
    <w:rsid w:val="00386F6C"/>
    <w:rPr>
      <w:sz w:val="20"/>
      <w:szCs w:val="20"/>
    </w:rPr>
  </w:style>
  <w:style w:type="paragraph" w:styleId="CommentSubject">
    <w:name w:val="annotation subject"/>
    <w:basedOn w:val="CommentText"/>
    <w:next w:val="CommentText"/>
    <w:link w:val="CommentSubjectChar"/>
    <w:uiPriority w:val="99"/>
    <w:semiHidden/>
    <w:unhideWhenUsed/>
    <w:rsid w:val="00386F6C"/>
    <w:rPr>
      <w:b/>
      <w:bCs/>
    </w:rPr>
  </w:style>
  <w:style w:type="character" w:customStyle="1" w:styleId="CommentSubjectChar">
    <w:name w:val="Comment Subject Char"/>
    <w:basedOn w:val="CommentTextChar"/>
    <w:link w:val="CommentSubject"/>
    <w:uiPriority w:val="99"/>
    <w:semiHidden/>
    <w:rsid w:val="00386F6C"/>
    <w:rPr>
      <w:b/>
      <w:bCs/>
      <w:sz w:val="20"/>
      <w:szCs w:val="20"/>
    </w:rPr>
  </w:style>
  <w:style w:type="paragraph" w:styleId="BalloonText">
    <w:name w:val="Balloon Text"/>
    <w:basedOn w:val="Normal"/>
    <w:link w:val="BalloonTextChar"/>
    <w:uiPriority w:val="99"/>
    <w:semiHidden/>
    <w:unhideWhenUsed/>
    <w:rsid w:val="00386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6C"/>
    <w:rPr>
      <w:rFonts w:ascii="Segoe UI" w:hAnsi="Segoe UI" w:cs="Segoe UI"/>
      <w:sz w:val="18"/>
      <w:szCs w:val="18"/>
    </w:rPr>
  </w:style>
  <w:style w:type="table" w:styleId="TableGrid">
    <w:name w:val="Table Grid"/>
    <w:basedOn w:val="TableNormal"/>
    <w:uiPriority w:val="39"/>
    <w:rsid w:val="00C07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8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584A"/>
  </w:style>
  <w:style w:type="paragraph" w:styleId="Footer">
    <w:name w:val="footer"/>
    <w:basedOn w:val="Normal"/>
    <w:link w:val="FooterChar"/>
    <w:uiPriority w:val="99"/>
    <w:unhideWhenUsed/>
    <w:rsid w:val="007658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F450-4493-4804-927F-A2ECEC83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548</Words>
  <Characters>2962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Rigas</dc:creator>
  <cp:keywords/>
  <dc:description/>
  <cp:lastModifiedBy>Christos Christofi</cp:lastModifiedBy>
  <cp:revision>12</cp:revision>
  <dcterms:created xsi:type="dcterms:W3CDTF">2025-09-25T06:15:00Z</dcterms:created>
  <dcterms:modified xsi:type="dcterms:W3CDTF">2025-10-07T08:38:00Z</dcterms:modified>
</cp:coreProperties>
</file>